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440" w:hanging="440" w:hangingChars="100"/>
        <w:jc w:val="both"/>
        <w:rPr>
          <w:rFonts w:hint="eastAsia" w:ascii="方正小标宋简体" w:hAnsi="仿宋" w:eastAsia="方正小标宋简体"/>
          <w:color w:val="auto"/>
          <w:sz w:val="44"/>
          <w:szCs w:val="32"/>
          <w:lang w:eastAsia="zh-CN"/>
        </w:rPr>
      </w:pPr>
      <w:bookmarkStart w:id="3" w:name="_GoBack"/>
      <w:bookmarkEnd w:id="3"/>
      <w:r>
        <w:rPr>
          <w:rFonts w:hint="eastAsia" w:ascii="方正小标宋简体" w:hAnsi="仿宋" w:eastAsia="方正小标宋简体"/>
          <w:color w:val="auto"/>
          <w:sz w:val="44"/>
          <w:szCs w:val="32"/>
          <w:lang w:val="en-US" w:eastAsia="zh-CN"/>
        </w:rPr>
        <w:t>杭州市富阳区城镇未来社区创建工作行动方案</w:t>
      </w:r>
      <w:r>
        <w:rPr>
          <w:rFonts w:hint="eastAsia" w:ascii="方正小标宋简体" w:hAnsi="仿宋" w:eastAsia="方正小标宋简体"/>
          <w:color w:val="auto"/>
          <w:sz w:val="44"/>
          <w:szCs w:val="32"/>
          <w:lang w:eastAsia="zh-CN"/>
        </w:rPr>
        <w:t>（</w:t>
      </w:r>
      <w:r>
        <w:rPr>
          <w:rFonts w:hint="eastAsia" w:ascii="方正小标宋简体" w:hAnsi="仿宋" w:eastAsia="方正小标宋简体"/>
          <w:color w:val="auto"/>
          <w:sz w:val="44"/>
          <w:szCs w:val="32"/>
          <w:lang w:val="en-US" w:eastAsia="zh-CN"/>
        </w:rPr>
        <w:t>2021-2023年</w:t>
      </w:r>
      <w:r>
        <w:rPr>
          <w:rFonts w:hint="eastAsia" w:ascii="方正小标宋简体" w:hAnsi="仿宋" w:eastAsia="方正小标宋简体"/>
          <w:color w:val="auto"/>
          <w:sz w:val="44"/>
          <w:szCs w:val="32"/>
          <w:lang w:eastAsia="zh-CN"/>
        </w:rPr>
        <w:t>）（征求意见稿）</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为加快推进我区</w:t>
      </w:r>
      <w:r>
        <w:rPr>
          <w:rFonts w:hint="eastAsia" w:ascii="仿宋" w:hAnsi="仿宋" w:eastAsia="仿宋"/>
          <w:color w:val="auto"/>
          <w:sz w:val="32"/>
          <w:szCs w:val="32"/>
          <w:lang w:eastAsia="zh-CN"/>
        </w:rPr>
        <w:t>城镇</w:t>
      </w:r>
      <w:r>
        <w:rPr>
          <w:rFonts w:hint="eastAsia" w:ascii="仿宋" w:hAnsi="仿宋" w:eastAsia="仿宋"/>
          <w:color w:val="auto"/>
          <w:sz w:val="32"/>
          <w:szCs w:val="32"/>
        </w:rPr>
        <w:t>未来社区建设，推动优质公共服务向社区延伸，根据《关于印发浙江省未来社区试点工作方案的通知</w:t>
      </w:r>
      <w:r>
        <w:rPr>
          <w:rFonts w:ascii="仿宋" w:hAnsi="仿宋" w:eastAsia="仿宋"/>
          <w:color w:val="auto"/>
          <w:sz w:val="32"/>
          <w:szCs w:val="32"/>
        </w:rPr>
        <w:t>》（</w:t>
      </w:r>
      <w:r>
        <w:rPr>
          <w:rFonts w:hint="eastAsia" w:ascii="仿宋" w:hAnsi="仿宋" w:eastAsia="仿宋"/>
          <w:color w:val="auto"/>
          <w:sz w:val="32"/>
          <w:szCs w:val="32"/>
        </w:rPr>
        <w:t>浙政发</w:t>
      </w:r>
      <w:r>
        <w:rPr>
          <w:rFonts w:ascii="仿宋" w:hAnsi="仿宋" w:eastAsia="仿宋"/>
          <w:color w:val="auto"/>
          <w:sz w:val="32"/>
          <w:szCs w:val="32"/>
        </w:rPr>
        <w:t>〔2019〕8号）</w:t>
      </w:r>
      <w:r>
        <w:rPr>
          <w:rFonts w:hint="eastAsia" w:ascii="仿宋_GB2312" w:hAnsi="仿宋_GB2312" w:eastAsia="仿宋_GB2312" w:cs="仿宋_GB2312"/>
          <w:color w:val="auto"/>
          <w:sz w:val="32"/>
          <w:szCs w:val="32"/>
        </w:rPr>
        <w:t>、《关于高质量加快推进未来社区试点建设工作的意见》（浙政办发〔2019〕60 号）、《浙江省未来社区试点建设管理办法（试行）》（浙发改基综〔2020〕195 号）、</w:t>
      </w:r>
      <w:r>
        <w:rPr>
          <w:rFonts w:hint="eastAsia" w:ascii="仿宋_GB2312" w:hAnsi="仿宋_GB2312" w:eastAsia="仿宋_GB2312" w:cs="仿宋_GB2312"/>
          <w:color w:val="auto"/>
          <w:sz w:val="32"/>
          <w:szCs w:val="32"/>
          <w:lang w:eastAsia="zh-CN"/>
        </w:rPr>
        <w:t>《</w:t>
      </w:r>
      <w:bookmarkStart w:id="0" w:name="bookmark5"/>
      <w:bookmarkStart w:id="1" w:name="bookmark3"/>
      <w:bookmarkStart w:id="2" w:name="bookmark4"/>
      <w:r>
        <w:rPr>
          <w:rFonts w:hint="eastAsia" w:ascii="仿宋_GB2312" w:hAnsi="仿宋_GB2312" w:eastAsia="仿宋_GB2312" w:cs="仿宋_GB2312"/>
          <w:color w:val="auto"/>
          <w:sz w:val="32"/>
          <w:szCs w:val="32"/>
          <w:lang w:eastAsia="zh-CN"/>
        </w:rPr>
        <w:t>杭州市人民政府办公厅关于高质量推进</w:t>
      </w:r>
      <w:bookmarkEnd w:id="0"/>
      <w:r>
        <w:rPr>
          <w:rFonts w:hint="eastAsia" w:ascii="仿宋_GB2312" w:hAnsi="仿宋_GB2312" w:eastAsia="仿宋_GB2312" w:cs="仿宋_GB2312"/>
          <w:color w:val="auto"/>
          <w:sz w:val="32"/>
          <w:szCs w:val="32"/>
          <w:lang w:eastAsia="zh-CN"/>
        </w:rPr>
        <w:t>杭州市未来社区试点建设的实施意见</w:t>
      </w:r>
      <w:bookmarkEnd w:id="1"/>
      <w:bookmarkEnd w:id="2"/>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（杭政办</w:t>
      </w:r>
      <w:r>
        <w:rPr>
          <w:rFonts w:hint="eastAsia" w:ascii="仿宋_GB2312" w:hAnsi="仿宋_GB2312" w:eastAsia="仿宋_GB2312" w:cs="仿宋_GB2312"/>
          <w:color w:val="auto"/>
          <w:sz w:val="32"/>
          <w:szCs w:val="32"/>
          <w:lang w:eastAsia="zh-CN"/>
        </w:rPr>
        <w:t>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《杭州市</w:t>
      </w:r>
      <w:r>
        <w:rPr>
          <w:rFonts w:hint="eastAsia" w:ascii="仿宋_GB2312" w:hAnsi="仿宋_GB2312" w:eastAsia="仿宋_GB2312" w:cs="仿宋_GB2312"/>
          <w:color w:val="auto"/>
          <w:sz w:val="32"/>
          <w:szCs w:val="32"/>
          <w:lang w:val="zh-CN" w:eastAsia="zh-CN"/>
        </w:rPr>
        <w:t>“百社</w:t>
      </w:r>
      <w:r>
        <w:rPr>
          <w:rFonts w:hint="eastAsia" w:ascii="仿宋_GB2312" w:hAnsi="仿宋_GB2312" w:eastAsia="仿宋_GB2312" w:cs="仿宋_GB2312"/>
          <w:color w:val="auto"/>
          <w:sz w:val="32"/>
          <w:szCs w:val="32"/>
        </w:rPr>
        <w:t>示范、千社提升” 未来社区创建工作方案》（杭未社〔2021〕1号）</w:t>
      </w:r>
      <w:r>
        <w:rPr>
          <w:rFonts w:ascii="仿宋" w:hAnsi="仿宋" w:eastAsia="仿宋"/>
          <w:color w:val="auto"/>
          <w:sz w:val="32"/>
          <w:szCs w:val="32"/>
        </w:rPr>
        <w:t>等文件精神，结合我</w:t>
      </w:r>
      <w:r>
        <w:rPr>
          <w:rFonts w:hint="eastAsia" w:ascii="仿宋" w:hAnsi="仿宋" w:eastAsia="仿宋"/>
          <w:color w:val="auto"/>
          <w:sz w:val="32"/>
          <w:szCs w:val="32"/>
        </w:rPr>
        <w:t>区</w:t>
      </w:r>
      <w:r>
        <w:rPr>
          <w:rFonts w:ascii="仿宋" w:hAnsi="仿宋" w:eastAsia="仿宋"/>
          <w:color w:val="auto"/>
          <w:sz w:val="32"/>
          <w:szCs w:val="32"/>
        </w:rPr>
        <w:t>实际，特制定本实施方案。</w:t>
      </w:r>
    </w:p>
    <w:p>
      <w:pPr>
        <w:pStyle w:val="11"/>
        <w:numPr>
          <w:ilvl w:val="0"/>
          <w:numId w:val="1"/>
        </w:numPr>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指导思想</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以习近平新时代中国特色社会主义思想为指导，以推动 人的全面发展和社会的全面进步为出发点，聚焦人本化、生 态化、数字化三维价值坐标，以和睦共治、绿色集约、智慧 共享为内涵特征，系统营造</w:t>
      </w:r>
      <w:r>
        <w:rPr>
          <w:rFonts w:hint="eastAsia" w:ascii="仿宋" w:hAnsi="仿宋" w:eastAsia="仿宋"/>
          <w:color w:val="auto"/>
          <w:sz w:val="32"/>
          <w:szCs w:val="32"/>
          <w:lang w:eastAsia="zh-CN"/>
        </w:rPr>
        <w:t>城镇</w:t>
      </w:r>
      <w:r>
        <w:rPr>
          <w:rFonts w:hint="eastAsia" w:ascii="仿宋" w:hAnsi="仿宋" w:eastAsia="仿宋"/>
          <w:color w:val="auto"/>
          <w:sz w:val="32"/>
          <w:szCs w:val="32"/>
        </w:rPr>
        <w:t>未来社区</w:t>
      </w:r>
      <w:r>
        <w:rPr>
          <w:rFonts w:hint="eastAsia" w:ascii="仿宋" w:hAnsi="仿宋" w:eastAsia="仿宋"/>
          <w:color w:val="auto"/>
          <w:sz w:val="32"/>
          <w:szCs w:val="32"/>
          <w:lang w:eastAsia="zh-CN"/>
        </w:rPr>
        <w:t>（以下简称未来社区）</w:t>
      </w:r>
      <w:r>
        <w:rPr>
          <w:rFonts w:hint="eastAsia" w:ascii="仿宋" w:hAnsi="仿宋" w:eastAsia="仿宋"/>
          <w:color w:val="auto"/>
          <w:sz w:val="32"/>
          <w:szCs w:val="32"/>
        </w:rPr>
        <w:t>场景建设，深度融合数字经济、城市大脑、创新创业等特色优势，高质量推进我区未来社区建设，形成更具宜居性、未来感、可持续的富阳未来社区特色范式，努力打造未来社区富阳样本。</w:t>
      </w:r>
    </w:p>
    <w:p>
      <w:pPr>
        <w:pStyle w:val="11"/>
        <w:numPr>
          <w:ilvl w:val="0"/>
          <w:numId w:val="2"/>
        </w:numPr>
        <w:ind w:left="0" w:leftChars="0" w:firstLine="640" w:firstLineChars="200"/>
        <w:outlineLvl w:val="0"/>
        <w:rPr>
          <w:rFonts w:ascii="黑体" w:hAnsi="黑体" w:eastAsia="黑体"/>
          <w:color w:val="auto"/>
          <w:sz w:val="32"/>
          <w:szCs w:val="32"/>
        </w:rPr>
      </w:pPr>
      <w:r>
        <w:rPr>
          <w:rFonts w:hint="eastAsia" w:ascii="黑体" w:hAnsi="黑体" w:eastAsia="黑体"/>
          <w:color w:val="auto"/>
          <w:sz w:val="32"/>
          <w:szCs w:val="32"/>
        </w:rPr>
        <w:t>基本原则</w:t>
      </w:r>
    </w:p>
    <w:p>
      <w:pPr>
        <w:pStyle w:val="12"/>
        <w:spacing w:line="571" w:lineRule="exact"/>
        <w:ind w:firstLine="640" w:firstLineChars="200"/>
        <w:rPr>
          <w:rFonts w:ascii="仿宋" w:hAnsi="仿宋" w:eastAsia="仿宋" w:cstheme="minorBidi"/>
          <w:color w:val="auto"/>
          <w:sz w:val="32"/>
          <w:szCs w:val="32"/>
          <w:lang w:val="en-US" w:eastAsia="zh-CN" w:bidi="ar-SA"/>
        </w:rPr>
      </w:pPr>
      <w:r>
        <w:rPr>
          <w:rFonts w:hint="eastAsia" w:ascii="仿宋" w:hAnsi="仿宋" w:eastAsia="仿宋" w:cstheme="minorBidi"/>
          <w:color w:val="auto"/>
          <w:sz w:val="32"/>
          <w:szCs w:val="32"/>
          <w:lang w:val="en-US" w:eastAsia="zh-CN" w:bidi="ar-SA"/>
        </w:rPr>
        <w:t>深刻把握未来社区是绿色低碳智慧的</w:t>
      </w:r>
      <w:r>
        <w:rPr>
          <w:rFonts w:hint="eastAsia" w:ascii="仿宋" w:hAnsi="仿宋" w:eastAsia="仿宋" w:cstheme="minorBidi"/>
          <w:color w:val="auto"/>
          <w:sz w:val="32"/>
          <w:szCs w:val="32"/>
          <w:lang w:val="zh-CN" w:eastAsia="zh-CN" w:bidi="ar-SA"/>
        </w:rPr>
        <w:t>“有</w:t>
      </w:r>
      <w:r>
        <w:rPr>
          <w:rFonts w:hint="eastAsia" w:ascii="仿宋" w:hAnsi="仿宋" w:eastAsia="仿宋" w:cstheme="minorBidi"/>
          <w:color w:val="auto"/>
          <w:sz w:val="32"/>
          <w:szCs w:val="32"/>
          <w:lang w:val="en-US" w:eastAsia="zh-CN" w:bidi="ar-SA"/>
        </w:rPr>
        <w:t>机生命体”、 宜居宜业宜游的</w:t>
      </w:r>
      <w:r>
        <w:rPr>
          <w:rFonts w:hint="eastAsia" w:ascii="仿宋" w:hAnsi="仿宋" w:eastAsia="仿宋" w:cstheme="minorBidi"/>
          <w:color w:val="auto"/>
          <w:sz w:val="32"/>
          <w:szCs w:val="32"/>
          <w:lang w:val="zh-CN" w:eastAsia="zh-CN" w:bidi="ar-SA"/>
        </w:rPr>
        <w:t>“生</w:t>
      </w:r>
      <w:r>
        <w:rPr>
          <w:rFonts w:hint="eastAsia" w:ascii="仿宋" w:hAnsi="仿宋" w:eastAsia="仿宋" w:cstheme="minorBidi"/>
          <w:color w:val="auto"/>
          <w:sz w:val="32"/>
          <w:szCs w:val="32"/>
          <w:lang w:val="en-US" w:eastAsia="zh-CN" w:bidi="ar-SA"/>
        </w:rPr>
        <w:t>活共同体”、资源高效配置的</w:t>
      </w:r>
      <w:r>
        <w:rPr>
          <w:rFonts w:hint="eastAsia" w:ascii="仿宋" w:hAnsi="仿宋" w:eastAsia="仿宋" w:cstheme="minorBidi"/>
          <w:color w:val="auto"/>
          <w:sz w:val="32"/>
          <w:szCs w:val="32"/>
          <w:lang w:val="zh-CN" w:eastAsia="zh-CN" w:bidi="ar-SA"/>
        </w:rPr>
        <w:t>“社</w:t>
      </w:r>
      <w:r>
        <w:rPr>
          <w:rFonts w:hint="eastAsia" w:ascii="仿宋" w:hAnsi="仿宋" w:eastAsia="仿宋" w:cstheme="minorBidi"/>
          <w:color w:val="auto"/>
          <w:sz w:val="32"/>
          <w:szCs w:val="32"/>
          <w:lang w:val="en-US" w:eastAsia="zh-CN" w:bidi="ar-SA"/>
        </w:rPr>
        <w:t>会综合体”，以及数字社会城市基本功能单元系统的内涵特征，坚持四个属性，科学有序推进未来社区创建。</w:t>
      </w:r>
    </w:p>
    <w:p>
      <w:pPr>
        <w:pStyle w:val="12"/>
        <w:numPr>
          <w:ilvl w:val="0"/>
          <w:numId w:val="3"/>
        </w:numPr>
        <w:tabs>
          <w:tab w:val="left" w:pos="1157"/>
          <w:tab w:val="clear" w:pos="420"/>
        </w:tabs>
        <w:spacing w:line="579" w:lineRule="exact"/>
        <w:ind w:firstLine="640" w:firstLineChars="200"/>
        <w:outlineLvl w:val="1"/>
        <w:rPr>
          <w:rFonts w:ascii="仿宋" w:hAnsi="仿宋" w:eastAsia="仿宋" w:cstheme="minorBidi"/>
          <w:color w:val="auto"/>
          <w:sz w:val="32"/>
          <w:szCs w:val="32"/>
          <w:lang w:val="en-US" w:eastAsia="zh-CN" w:bidi="ar-SA"/>
        </w:rPr>
      </w:pPr>
      <w:r>
        <w:rPr>
          <w:rFonts w:hint="eastAsia" w:ascii="楷体" w:hAnsi="楷体" w:eastAsia="楷体" w:cs="楷体"/>
          <w:b w:val="0"/>
          <w:bCs w:val="0"/>
          <w:color w:val="auto"/>
          <w:sz w:val="32"/>
          <w:szCs w:val="32"/>
          <w:lang w:val="en-US" w:eastAsia="zh-CN" w:bidi="ar-SA"/>
        </w:rPr>
        <w:t>坚持现代化属性，防止一般化倾向。</w:t>
      </w:r>
      <w:r>
        <w:rPr>
          <w:rFonts w:hint="eastAsia" w:ascii="仿宋" w:hAnsi="仿宋" w:eastAsia="仿宋" w:cstheme="minorBidi"/>
          <w:color w:val="auto"/>
          <w:sz w:val="32"/>
          <w:szCs w:val="32"/>
          <w:lang w:val="en-US" w:eastAsia="zh-CN" w:bidi="ar-SA"/>
        </w:rPr>
        <w:t>聚焦数字化、突出新建造、融入新技术、推广新治理，构建面向现代化、面向未来的市民生活场景。</w:t>
      </w:r>
    </w:p>
    <w:p>
      <w:pPr>
        <w:pStyle w:val="12"/>
        <w:numPr>
          <w:ilvl w:val="0"/>
          <w:numId w:val="4"/>
        </w:numPr>
        <w:tabs>
          <w:tab w:val="left" w:pos="1157"/>
          <w:tab w:val="clear" w:pos="420"/>
        </w:tabs>
        <w:spacing w:line="579" w:lineRule="exact"/>
        <w:ind w:firstLine="640" w:firstLineChars="200"/>
        <w:outlineLvl w:val="1"/>
        <w:rPr>
          <w:rFonts w:ascii="仿宋" w:hAnsi="仿宋" w:eastAsia="仿宋" w:cstheme="minorBidi"/>
          <w:color w:val="auto"/>
          <w:sz w:val="32"/>
          <w:szCs w:val="32"/>
          <w:lang w:val="en-US" w:eastAsia="zh-CN" w:bidi="ar-SA"/>
        </w:rPr>
      </w:pPr>
      <w:r>
        <w:rPr>
          <w:rFonts w:hint="eastAsia" w:ascii="楷体" w:hAnsi="楷体" w:eastAsia="楷体" w:cs="楷体"/>
          <w:b w:val="0"/>
          <w:bCs w:val="0"/>
          <w:color w:val="auto"/>
          <w:sz w:val="32"/>
          <w:szCs w:val="32"/>
          <w:lang w:val="en-US" w:eastAsia="zh-CN" w:bidi="ar-SA"/>
        </w:rPr>
        <w:t>坚持家园属性，防止房地产化倾向。</w:t>
      </w:r>
      <w:r>
        <w:rPr>
          <w:rFonts w:hint="eastAsia" w:ascii="仿宋" w:hAnsi="仿宋" w:eastAsia="仿宋" w:cstheme="minorBidi"/>
          <w:color w:val="auto"/>
          <w:sz w:val="32"/>
          <w:szCs w:val="32"/>
          <w:lang w:val="en-US" w:eastAsia="zh-CN" w:bidi="ar-SA"/>
        </w:rPr>
        <w:t>注重延续历史文化记忆、加强历史文化遗存保护，建好邻里交往中心、建好公共文化空间、建好美好生活链圈，实现从造房子向造生活转变，打造有归属感、舒适感、未来感的美好家园。</w:t>
      </w:r>
    </w:p>
    <w:p>
      <w:pPr>
        <w:pStyle w:val="12"/>
        <w:numPr>
          <w:ilvl w:val="0"/>
          <w:numId w:val="5"/>
        </w:numPr>
        <w:tabs>
          <w:tab w:val="left" w:pos="1157"/>
          <w:tab w:val="clear" w:pos="420"/>
        </w:tabs>
        <w:spacing w:line="579" w:lineRule="exact"/>
        <w:ind w:firstLine="640" w:firstLineChars="200"/>
        <w:outlineLvl w:val="1"/>
        <w:rPr>
          <w:rFonts w:ascii="仿宋" w:hAnsi="仿宋" w:eastAsia="仿宋" w:cstheme="minorBidi"/>
          <w:color w:val="auto"/>
          <w:sz w:val="32"/>
          <w:szCs w:val="32"/>
          <w:lang w:val="en-US" w:eastAsia="zh-CN" w:bidi="ar-SA"/>
        </w:rPr>
      </w:pPr>
      <w:r>
        <w:rPr>
          <w:rFonts w:hint="eastAsia" w:ascii="楷体" w:hAnsi="楷体" w:eastAsia="楷体" w:cs="楷体"/>
          <w:b w:val="0"/>
          <w:bCs w:val="0"/>
          <w:color w:val="auto"/>
          <w:sz w:val="32"/>
          <w:szCs w:val="32"/>
          <w:lang w:val="en-US" w:eastAsia="zh-CN" w:bidi="ar-SA"/>
        </w:rPr>
        <w:t>坚持民生属性，防止贵族化倾向。</w:t>
      </w:r>
      <w:r>
        <w:rPr>
          <w:rFonts w:hint="eastAsia" w:ascii="仿宋" w:hAnsi="仿宋" w:eastAsia="仿宋" w:cstheme="minorBidi"/>
          <w:color w:val="auto"/>
          <w:sz w:val="32"/>
          <w:szCs w:val="32"/>
          <w:lang w:val="en-US" w:eastAsia="zh-CN" w:bidi="ar-SA"/>
        </w:rPr>
        <w:t>集成民生服务、促进创业创新、推动共建共享，将人民拥不拥护、赞不赞成、满意不满意作为衡量工作得失的根本标准，真正让老百姓</w:t>
      </w:r>
      <w:r>
        <w:rPr>
          <w:rFonts w:hint="eastAsia" w:ascii="仿宋" w:hAnsi="仿宋" w:eastAsia="仿宋" w:cstheme="minorBidi"/>
          <w:color w:val="auto"/>
          <w:sz w:val="32"/>
          <w:szCs w:val="32"/>
          <w:lang w:val="zh-CN" w:eastAsia="zh-CN" w:bidi="ar-SA"/>
        </w:rPr>
        <w:t>“搬</w:t>
      </w:r>
      <w:r>
        <w:rPr>
          <w:rFonts w:hint="eastAsia" w:ascii="仿宋" w:hAnsi="仿宋" w:eastAsia="仿宋" w:cstheme="minorBidi"/>
          <w:color w:val="auto"/>
          <w:sz w:val="32"/>
          <w:szCs w:val="32"/>
          <w:lang w:val="en-US" w:eastAsia="zh-CN" w:bidi="ar-SA"/>
        </w:rPr>
        <w:t>得进、住得起、过得好”。</w:t>
      </w:r>
    </w:p>
    <w:p>
      <w:pPr>
        <w:pStyle w:val="12"/>
        <w:numPr>
          <w:ilvl w:val="0"/>
          <w:numId w:val="6"/>
        </w:numPr>
        <w:tabs>
          <w:tab w:val="left" w:pos="1157"/>
          <w:tab w:val="clear" w:pos="420"/>
        </w:tabs>
        <w:spacing w:line="576" w:lineRule="exact"/>
        <w:ind w:firstLine="640" w:firstLineChars="200"/>
        <w:outlineLvl w:val="1"/>
        <w:rPr>
          <w:rFonts w:ascii="仿宋" w:hAnsi="仿宋" w:eastAsia="仿宋" w:cstheme="minorBidi"/>
          <w:color w:val="auto"/>
          <w:sz w:val="32"/>
          <w:szCs w:val="32"/>
          <w:lang w:val="en-US" w:eastAsia="zh-CN" w:bidi="ar-SA"/>
        </w:rPr>
      </w:pPr>
      <w:r>
        <w:rPr>
          <w:rFonts w:hint="eastAsia" w:ascii="楷体" w:hAnsi="楷体" w:eastAsia="楷体" w:cs="楷体"/>
          <w:b w:val="0"/>
          <w:bCs w:val="0"/>
          <w:color w:val="auto"/>
          <w:sz w:val="32"/>
          <w:szCs w:val="32"/>
          <w:lang w:val="en-US" w:eastAsia="zh-CN" w:bidi="ar-SA"/>
        </w:rPr>
        <w:t>坚持普惠属性，防止盆景化倾向。</w:t>
      </w:r>
      <w:r>
        <w:rPr>
          <w:rFonts w:hint="eastAsia" w:ascii="仿宋" w:hAnsi="仿宋" w:eastAsia="仿宋" w:cstheme="minorBidi"/>
          <w:color w:val="auto"/>
          <w:sz w:val="32"/>
          <w:szCs w:val="32"/>
          <w:lang w:val="en-US" w:eastAsia="zh-CN" w:bidi="ar-SA"/>
        </w:rPr>
        <w:t>把未来社区建设理念和要求贯穿到城市旧改新建、有机更新的全过程，丰富创建类型，鼓励百花齐放，加快推动从个案"试点”到面上推广。</w:t>
      </w:r>
    </w:p>
    <w:p>
      <w:pPr>
        <w:pStyle w:val="11"/>
        <w:numPr>
          <w:ilvl w:val="0"/>
          <w:numId w:val="7"/>
        </w:numPr>
        <w:ind w:left="0" w:leftChars="0" w:firstLine="640" w:firstLineChars="200"/>
        <w:outlineLvl w:val="0"/>
        <w:rPr>
          <w:rFonts w:ascii="黑体" w:hAnsi="黑体" w:eastAsia="黑体"/>
          <w:color w:val="auto"/>
          <w:sz w:val="32"/>
          <w:szCs w:val="32"/>
        </w:rPr>
      </w:pPr>
      <w:r>
        <w:rPr>
          <w:rFonts w:hint="eastAsia" w:ascii="黑体" w:hAnsi="黑体" w:eastAsia="黑体"/>
          <w:color w:val="auto"/>
          <w:sz w:val="32"/>
          <w:szCs w:val="32"/>
          <w:lang w:eastAsia="zh-CN"/>
        </w:rPr>
        <w:t>总体</w:t>
      </w:r>
      <w:r>
        <w:rPr>
          <w:rFonts w:hint="eastAsia" w:ascii="黑体" w:hAnsi="黑体" w:eastAsia="黑体"/>
          <w:color w:val="auto"/>
          <w:sz w:val="32"/>
          <w:szCs w:val="32"/>
        </w:rPr>
        <w:t>目标</w:t>
      </w:r>
    </w:p>
    <w:p>
      <w:pPr>
        <w:ind w:firstLine="640" w:firstLineChars="200"/>
        <w:rPr>
          <w:rFonts w:hint="eastAsia" w:ascii="仿宋" w:hAnsi="仿宋" w:eastAsia="仿宋"/>
          <w:color w:val="auto"/>
          <w:sz w:val="32"/>
          <w:szCs w:val="32"/>
          <w:lang w:val="en-US" w:eastAsia="zh-CN"/>
        </w:rPr>
      </w:pPr>
      <w:r>
        <w:rPr>
          <w:rFonts w:ascii="仿宋" w:hAnsi="仿宋" w:eastAsia="仿宋"/>
          <w:color w:val="auto"/>
          <w:sz w:val="32"/>
          <w:szCs w:val="32"/>
        </w:rPr>
        <w:t>坚持以人民美好生活向往为中心，突出人本化、生态化、 数字化，按照“标配+选配”原则，突出需求导向，落实九大场景创建评价指标体系。充分衔接城镇老旧小区改造和存量社区整合提升，联动城乡风貌整治提升。整合社区及周边空间资源，重点推进邻里活动、养老托幼、健康管理、商业服务、社区治理等基础公共服务</w:t>
      </w:r>
      <w:r>
        <w:rPr>
          <w:rFonts w:hint="eastAsia" w:ascii="仿宋" w:hAnsi="仿宋" w:eastAsia="仿宋"/>
          <w:color w:val="auto"/>
          <w:sz w:val="32"/>
          <w:szCs w:val="32"/>
          <w:lang w:eastAsia="zh-CN"/>
        </w:rPr>
        <w:t>提质扩面</w:t>
      </w:r>
      <w:r>
        <w:rPr>
          <w:rFonts w:ascii="仿宋" w:hAnsi="仿宋" w:eastAsia="仿宋"/>
          <w:color w:val="auto"/>
          <w:sz w:val="32"/>
          <w:szCs w:val="32"/>
        </w:rPr>
        <w:t>。满足居民日常生活需求，加快社区范围内公共服务均等普及，努力实现社区高质量发展、高水平均衡、高品质生活、高效能治理。</w:t>
      </w:r>
      <w:r>
        <w:rPr>
          <w:rFonts w:hint="eastAsia" w:ascii="仿宋" w:hAnsi="仿宋" w:eastAsia="仿宋"/>
          <w:color w:val="auto"/>
          <w:sz w:val="32"/>
          <w:szCs w:val="32"/>
          <w:lang w:eastAsia="zh-CN"/>
        </w:rPr>
        <w:t>结合省、市创建工作任务要求，在</w:t>
      </w:r>
      <w:r>
        <w:rPr>
          <w:rFonts w:hint="eastAsia" w:ascii="仿宋" w:hAnsi="仿宋" w:eastAsia="仿宋"/>
          <w:color w:val="auto"/>
          <w:sz w:val="32"/>
          <w:szCs w:val="32"/>
          <w:lang w:val="en-US" w:eastAsia="zh-CN"/>
        </w:rPr>
        <w:t>2023年底前每个街道（重点乡镇）至少创建完成1个未来社区项目，实现全区街道和重点乡镇未来社区创建全覆盖，拟定15个未来社区创建项目（详见附件1）。同步编制《富阳区城镇社区建设规划》按需调整创建项目，并滚动推进实施。</w:t>
      </w:r>
    </w:p>
    <w:p>
      <w:pPr>
        <w:pStyle w:val="11"/>
        <w:numPr>
          <w:ilvl w:val="0"/>
          <w:numId w:val="8"/>
        </w:numPr>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创建</w:t>
      </w:r>
      <w:r>
        <w:rPr>
          <w:rFonts w:hint="eastAsia" w:ascii="黑体" w:hAnsi="黑体" w:eastAsia="黑体"/>
          <w:color w:val="auto"/>
          <w:sz w:val="32"/>
          <w:szCs w:val="32"/>
          <w:lang w:eastAsia="zh-CN"/>
        </w:rPr>
        <w:t>方式</w:t>
      </w:r>
    </w:p>
    <w:p>
      <w:pPr>
        <w:pStyle w:val="11"/>
        <w:numPr>
          <w:ilvl w:val="0"/>
          <w:numId w:val="9"/>
        </w:numPr>
        <w:ind w:firstLine="640" w:firstLineChars="200"/>
        <w:outlineLvl w:val="1"/>
        <w:rPr>
          <w:rFonts w:hint="eastAsia" w:ascii="仿宋" w:hAnsi="仿宋" w:eastAsia="仿宋"/>
          <w:color w:val="auto"/>
          <w:sz w:val="32"/>
          <w:szCs w:val="32"/>
        </w:rPr>
      </w:pPr>
      <w:r>
        <w:rPr>
          <w:rFonts w:hint="eastAsia" w:ascii="楷体" w:hAnsi="楷体" w:eastAsia="楷体"/>
          <w:b w:val="0"/>
          <w:bCs w:val="0"/>
          <w:color w:val="auto"/>
          <w:sz w:val="32"/>
          <w:szCs w:val="32"/>
        </w:rPr>
        <w:t>责任主体。</w:t>
      </w:r>
      <w:r>
        <w:rPr>
          <w:rFonts w:hint="eastAsia" w:ascii="仿宋" w:hAnsi="仿宋" w:eastAsia="仿宋"/>
          <w:color w:val="auto"/>
          <w:sz w:val="32"/>
          <w:szCs w:val="32"/>
        </w:rPr>
        <w:t>未来社区创建项目以所在区政府为</w:t>
      </w:r>
      <w:r>
        <w:rPr>
          <w:rFonts w:hint="eastAsia" w:ascii="仿宋" w:hAnsi="仿宋" w:eastAsia="仿宋"/>
          <w:color w:val="auto"/>
          <w:sz w:val="32"/>
          <w:szCs w:val="32"/>
          <w:lang w:eastAsia="zh-CN"/>
        </w:rPr>
        <w:t>建设</w:t>
      </w:r>
      <w:r>
        <w:rPr>
          <w:rFonts w:hint="eastAsia" w:ascii="仿宋" w:hAnsi="仿宋" w:eastAsia="仿宋"/>
          <w:color w:val="auto"/>
          <w:sz w:val="32"/>
          <w:szCs w:val="32"/>
        </w:rPr>
        <w:t>主体。</w:t>
      </w:r>
      <w:r>
        <w:rPr>
          <w:rFonts w:hint="eastAsia" w:ascii="仿宋" w:hAnsi="仿宋" w:eastAsia="仿宋"/>
          <w:color w:val="auto"/>
          <w:sz w:val="32"/>
          <w:szCs w:val="32"/>
          <w:lang w:eastAsia="zh-CN"/>
        </w:rPr>
        <w:t>区城乡风貌整治提升（未来社区建设）工作领导小组办公室作为未来社区创建的统筹协调机构，协调各部门、各单位推进创建工作。</w:t>
      </w:r>
      <w:r>
        <w:rPr>
          <w:rFonts w:hint="eastAsia" w:ascii="仿宋" w:hAnsi="仿宋" w:eastAsia="仿宋"/>
          <w:color w:val="auto"/>
          <w:sz w:val="32"/>
          <w:szCs w:val="32"/>
          <w:lang w:val="en-US" w:eastAsia="zh-CN"/>
        </w:rPr>
        <w:t>街道（乡镇）为</w:t>
      </w:r>
      <w:r>
        <w:rPr>
          <w:rFonts w:hint="eastAsia" w:ascii="仿宋" w:hAnsi="仿宋" w:eastAsia="仿宋"/>
          <w:color w:val="auto"/>
          <w:sz w:val="32"/>
          <w:szCs w:val="32"/>
        </w:rPr>
        <w:t>实施主体</w:t>
      </w:r>
      <w:r>
        <w:rPr>
          <w:rFonts w:hint="eastAsia" w:ascii="仿宋" w:hAnsi="仿宋" w:eastAsia="仿宋"/>
          <w:color w:val="auto"/>
          <w:sz w:val="32"/>
          <w:szCs w:val="32"/>
          <w:lang w:eastAsia="zh-CN"/>
        </w:rPr>
        <w:t>，</w:t>
      </w:r>
      <w:r>
        <w:rPr>
          <w:rFonts w:hint="eastAsia" w:ascii="仿宋" w:hAnsi="仿宋" w:eastAsia="仿宋"/>
          <w:color w:val="auto"/>
          <w:sz w:val="32"/>
          <w:szCs w:val="32"/>
        </w:rPr>
        <w:t>具体负责</w:t>
      </w:r>
      <w:r>
        <w:rPr>
          <w:rFonts w:hint="eastAsia" w:ascii="仿宋" w:hAnsi="仿宋" w:eastAsia="仿宋"/>
          <w:color w:val="auto"/>
          <w:sz w:val="32"/>
          <w:szCs w:val="32"/>
          <w:lang w:eastAsia="zh-CN"/>
        </w:rPr>
        <w:t>建立一社一档，做好</w:t>
      </w:r>
      <w:r>
        <w:rPr>
          <w:rFonts w:hint="eastAsia" w:ascii="仿宋" w:hAnsi="仿宋" w:eastAsia="仿宋"/>
          <w:color w:val="auto"/>
          <w:sz w:val="32"/>
          <w:szCs w:val="32"/>
        </w:rPr>
        <w:t>创建</w:t>
      </w:r>
      <w:r>
        <w:rPr>
          <w:rFonts w:hint="eastAsia" w:ascii="仿宋" w:hAnsi="仿宋" w:eastAsia="仿宋"/>
          <w:color w:val="auto"/>
          <w:sz w:val="32"/>
          <w:szCs w:val="32"/>
          <w:lang w:eastAsia="zh-CN"/>
        </w:rPr>
        <w:t>项目储备摸排、设计招标、</w:t>
      </w:r>
      <w:r>
        <w:rPr>
          <w:rFonts w:hint="eastAsia" w:ascii="仿宋" w:hAnsi="仿宋" w:eastAsia="仿宋"/>
          <w:color w:val="auto"/>
          <w:sz w:val="32"/>
          <w:szCs w:val="32"/>
        </w:rPr>
        <w:t>方案编制</w:t>
      </w:r>
      <w:r>
        <w:rPr>
          <w:rFonts w:hint="eastAsia" w:ascii="仿宋" w:hAnsi="仿宋" w:eastAsia="仿宋"/>
          <w:color w:val="auto"/>
          <w:sz w:val="32"/>
          <w:szCs w:val="32"/>
          <w:lang w:eastAsia="zh-CN"/>
        </w:rPr>
        <w:t>、运营方案</w:t>
      </w:r>
      <w:r>
        <w:rPr>
          <w:rFonts w:hint="eastAsia" w:ascii="仿宋" w:hAnsi="仿宋" w:eastAsia="仿宋"/>
          <w:color w:val="auto"/>
          <w:sz w:val="32"/>
          <w:szCs w:val="32"/>
        </w:rPr>
        <w:t>、前期手续办理等工作。</w:t>
      </w:r>
    </w:p>
    <w:p>
      <w:pPr>
        <w:pStyle w:val="11"/>
        <w:numPr>
          <w:ilvl w:val="0"/>
          <w:numId w:val="9"/>
        </w:numPr>
        <w:ind w:firstLine="640" w:firstLineChars="200"/>
        <w:outlineLvl w:val="1"/>
        <w:rPr>
          <w:rFonts w:hint="eastAsia" w:ascii="仿宋" w:hAnsi="仿宋" w:eastAsia="仿宋"/>
          <w:color w:val="auto"/>
          <w:sz w:val="32"/>
          <w:szCs w:val="32"/>
        </w:rPr>
      </w:pPr>
      <w:r>
        <w:rPr>
          <w:rFonts w:hint="eastAsia" w:ascii="仿宋" w:hAnsi="仿宋" w:eastAsia="仿宋"/>
          <w:color w:val="auto"/>
          <w:sz w:val="32"/>
          <w:szCs w:val="32"/>
          <w:lang w:val="en-US" w:eastAsia="zh-CN"/>
        </w:rPr>
        <w:t>项目申报。街道（乡镇）</w:t>
      </w:r>
      <w:r>
        <w:rPr>
          <w:rFonts w:hint="eastAsia" w:ascii="仿宋" w:hAnsi="仿宋" w:eastAsia="仿宋"/>
          <w:color w:val="auto"/>
          <w:sz w:val="32"/>
          <w:szCs w:val="32"/>
        </w:rPr>
        <w:t>结合</w:t>
      </w:r>
      <w:r>
        <w:rPr>
          <w:rFonts w:hint="eastAsia" w:ascii="仿宋" w:hAnsi="仿宋" w:eastAsia="仿宋"/>
          <w:color w:val="auto"/>
          <w:sz w:val="32"/>
          <w:szCs w:val="32"/>
          <w:lang w:eastAsia="zh-CN"/>
        </w:rPr>
        <w:t>省（市）</w:t>
      </w:r>
      <w:r>
        <w:rPr>
          <w:rFonts w:hint="eastAsia" w:ascii="仿宋" w:hAnsi="仿宋" w:eastAsia="仿宋"/>
          <w:color w:val="auto"/>
          <w:sz w:val="32"/>
          <w:szCs w:val="32"/>
        </w:rPr>
        <w:t>未来社区创建项目评审标准</w:t>
      </w:r>
      <w:r>
        <w:rPr>
          <w:rFonts w:hint="eastAsia" w:ascii="仿宋" w:hAnsi="仿宋" w:eastAsia="仿宋"/>
          <w:color w:val="auto"/>
          <w:sz w:val="32"/>
          <w:szCs w:val="32"/>
          <w:lang w:eastAsia="zh-CN"/>
        </w:rPr>
        <w:t>对</w:t>
      </w:r>
      <w:r>
        <w:rPr>
          <w:rFonts w:hint="eastAsia" w:ascii="仿宋" w:hAnsi="仿宋" w:eastAsia="仿宋"/>
          <w:color w:val="auto"/>
          <w:sz w:val="32"/>
          <w:szCs w:val="32"/>
        </w:rPr>
        <w:t>辖区内社区</w:t>
      </w:r>
      <w:r>
        <w:rPr>
          <w:rFonts w:hint="eastAsia" w:ascii="仿宋" w:hAnsi="仿宋" w:eastAsia="仿宋"/>
          <w:color w:val="auto"/>
          <w:sz w:val="32"/>
          <w:szCs w:val="32"/>
          <w:lang w:eastAsia="zh-CN"/>
        </w:rPr>
        <w:t>情况进行摸底调研</w:t>
      </w:r>
      <w:r>
        <w:rPr>
          <w:rFonts w:hint="eastAsia" w:ascii="仿宋" w:hAnsi="仿宋" w:eastAsia="仿宋"/>
          <w:color w:val="auto"/>
          <w:sz w:val="32"/>
          <w:szCs w:val="32"/>
        </w:rPr>
        <w:t>，统筹考虑社区区位、人员结构、居民需求、特色亮点、空间资源等现状条件</w:t>
      </w:r>
      <w:r>
        <w:rPr>
          <w:rFonts w:hint="eastAsia" w:ascii="仿宋" w:hAnsi="仿宋" w:eastAsia="仿宋"/>
          <w:color w:val="auto"/>
          <w:sz w:val="32"/>
          <w:szCs w:val="32"/>
          <w:lang w:eastAsia="zh-CN"/>
        </w:rPr>
        <w:t>，自主申报创建项目，经区城乡风貌整治提升（未来社区建设）工作领导小组办公室研究后，择优向省（市）进行申报。创建项目申报后，街道（乡镇）应及时编制申报方案和实施方案，按规定进行评审。</w:t>
      </w:r>
    </w:p>
    <w:p>
      <w:pPr>
        <w:pStyle w:val="11"/>
        <w:numPr>
          <w:ilvl w:val="0"/>
          <w:numId w:val="0"/>
        </w:numPr>
        <w:tabs>
          <w:tab w:val="left" w:pos="420"/>
        </w:tabs>
        <w:ind w:firstLine="640" w:firstLineChars="200"/>
        <w:outlineLvl w:val="1"/>
        <w:rPr>
          <w:rFonts w:hint="eastAsia" w:ascii="仿宋" w:hAnsi="仿宋" w:eastAsia="仿宋"/>
          <w:color w:val="auto"/>
          <w:sz w:val="32"/>
          <w:szCs w:val="32"/>
        </w:rPr>
      </w:pPr>
      <w:r>
        <w:rPr>
          <w:rFonts w:hint="eastAsia" w:ascii="楷体" w:hAnsi="楷体" w:eastAsia="楷体"/>
          <w:b w:val="0"/>
          <w:bCs w:val="0"/>
          <w:color w:val="auto"/>
          <w:sz w:val="32"/>
          <w:szCs w:val="32"/>
          <w:lang w:eastAsia="zh-CN"/>
        </w:rPr>
        <w:t>（三）</w:t>
      </w:r>
      <w:r>
        <w:rPr>
          <w:rFonts w:hint="eastAsia" w:ascii="楷体" w:hAnsi="楷体" w:eastAsia="楷体"/>
          <w:b w:val="0"/>
          <w:bCs w:val="0"/>
          <w:color w:val="auto"/>
          <w:sz w:val="32"/>
          <w:szCs w:val="32"/>
        </w:rPr>
        <w:t>面积范围。</w:t>
      </w:r>
      <w:r>
        <w:rPr>
          <w:rFonts w:hint="eastAsia" w:ascii="仿宋" w:hAnsi="仿宋" w:eastAsia="仿宋"/>
          <w:color w:val="auto"/>
          <w:sz w:val="32"/>
          <w:szCs w:val="32"/>
        </w:rPr>
        <w:t>充分衔接城市有机更新，开展市级及以上未来社区创建。结合民政部门社区治理单元，按照5-10-15分钟生活圈需求合理划定建设范围，实施单元以20公顷左右为参考，按照实际改造或建设需求合理确定。创建项目实施单元</w:t>
      </w:r>
      <w:r>
        <w:rPr>
          <w:rFonts w:hint="eastAsia" w:ascii="仿宋" w:hAnsi="仿宋" w:eastAsia="仿宋"/>
          <w:color w:val="auto"/>
          <w:sz w:val="32"/>
          <w:szCs w:val="32"/>
          <w:lang w:eastAsia="zh-CN"/>
        </w:rPr>
        <w:t>范围</w:t>
      </w:r>
      <w:r>
        <w:rPr>
          <w:rFonts w:hint="eastAsia" w:ascii="仿宋" w:hAnsi="仿宋" w:eastAsia="仿宋"/>
          <w:color w:val="auto"/>
          <w:sz w:val="32"/>
          <w:szCs w:val="32"/>
        </w:rPr>
        <w:t>内无别墅、排屋、洋房等高档住宅，确保避免贵族化倾向</w:t>
      </w:r>
      <w:r>
        <w:rPr>
          <w:rFonts w:hint="eastAsia" w:ascii="仿宋" w:hAnsi="仿宋" w:eastAsia="仿宋"/>
          <w:color w:val="auto"/>
          <w:sz w:val="32"/>
          <w:szCs w:val="32"/>
          <w:lang w:eastAsia="zh-CN"/>
        </w:rPr>
        <w:t>，应避免跨越铁路，或国省道、城市快速路、城市主干道等高等级道路（设有绿化隔离带交通性干道），或宽度较大的河流等分割屏障，难以实现区块间联通的项目不宜申报。原则上</w:t>
      </w:r>
      <w:r>
        <w:rPr>
          <w:rFonts w:hint="eastAsia" w:ascii="仿宋" w:hAnsi="仿宋" w:eastAsia="仿宋"/>
          <w:color w:val="auto"/>
          <w:sz w:val="32"/>
          <w:szCs w:val="32"/>
        </w:rPr>
        <w:t>应避免跨越不同的社区行政管辖范围，由单一社区组织统一管理，</w:t>
      </w:r>
      <w:r>
        <w:rPr>
          <w:rFonts w:hint="eastAsia" w:ascii="仿宋" w:hAnsi="仿宋" w:eastAsia="仿宋"/>
          <w:color w:val="auto"/>
          <w:sz w:val="32"/>
          <w:szCs w:val="32"/>
          <w:lang w:eastAsia="zh-CN"/>
        </w:rPr>
        <w:t>如涉及多个社区</w:t>
      </w:r>
      <w:r>
        <w:rPr>
          <w:rFonts w:hint="eastAsia" w:ascii="仿宋" w:hAnsi="仿宋" w:eastAsia="仿宋"/>
          <w:color w:val="auto"/>
          <w:sz w:val="32"/>
          <w:szCs w:val="32"/>
        </w:rPr>
        <w:t>可通过调整实现统一管理。</w:t>
      </w:r>
    </w:p>
    <w:p>
      <w:pPr>
        <w:numPr>
          <w:ilvl w:val="0"/>
          <w:numId w:val="0"/>
        </w:numPr>
        <w:tabs>
          <w:tab w:val="left" w:pos="420"/>
        </w:tabs>
        <w:ind w:firstLine="640" w:firstLineChars="200"/>
        <w:outlineLvl w:val="1"/>
        <w:rPr>
          <w:rFonts w:ascii="楷体" w:hAnsi="楷体" w:eastAsia="楷体"/>
          <w:b w:val="0"/>
          <w:bCs w:val="0"/>
          <w:color w:val="auto"/>
          <w:sz w:val="32"/>
          <w:szCs w:val="32"/>
        </w:rPr>
      </w:pPr>
      <w:r>
        <w:rPr>
          <w:rFonts w:hint="eastAsia" w:ascii="楷体" w:hAnsi="楷体" w:eastAsia="楷体"/>
          <w:b w:val="0"/>
          <w:bCs w:val="0"/>
          <w:color w:val="auto"/>
          <w:sz w:val="32"/>
          <w:szCs w:val="32"/>
          <w:lang w:eastAsia="zh-CN"/>
        </w:rPr>
        <w:t>（四）</w:t>
      </w:r>
      <w:r>
        <w:rPr>
          <w:rFonts w:hint="eastAsia" w:ascii="楷体" w:hAnsi="楷体" w:eastAsia="楷体"/>
          <w:b w:val="0"/>
          <w:bCs w:val="0"/>
          <w:color w:val="auto"/>
          <w:sz w:val="32"/>
          <w:szCs w:val="32"/>
        </w:rPr>
        <w:t>创建类型</w:t>
      </w:r>
      <w:r>
        <w:rPr>
          <w:rFonts w:hint="eastAsia" w:ascii="楷体" w:hAnsi="楷体" w:eastAsia="楷体"/>
          <w:b w:val="0"/>
          <w:bCs w:val="0"/>
          <w:color w:val="auto"/>
          <w:sz w:val="32"/>
          <w:szCs w:val="32"/>
          <w:lang w:eastAsia="zh-CN"/>
        </w:rPr>
        <w:t>。</w:t>
      </w:r>
    </w:p>
    <w:p>
      <w:pPr>
        <w:numPr>
          <w:ilvl w:val="0"/>
          <w:numId w:val="0"/>
        </w:numPr>
        <w:tabs>
          <w:tab w:val="left" w:pos="420"/>
        </w:tabs>
        <w:ind w:firstLine="643" w:firstLineChars="200"/>
        <w:outlineLvl w:val="1"/>
        <w:rPr>
          <w:rFonts w:ascii="仿宋" w:hAnsi="仿宋" w:eastAsia="仿宋"/>
          <w:color w:val="auto"/>
          <w:sz w:val="32"/>
          <w:szCs w:val="32"/>
        </w:rPr>
      </w:pPr>
      <w:r>
        <w:rPr>
          <w:rFonts w:ascii="仿宋" w:hAnsi="仿宋" w:eastAsia="仿宋"/>
          <w:b/>
          <w:bCs/>
          <w:color w:val="auto"/>
          <w:sz w:val="32"/>
          <w:szCs w:val="32"/>
        </w:rPr>
        <w:t>1.</w:t>
      </w:r>
      <w:r>
        <w:rPr>
          <w:rFonts w:hint="eastAsia" w:ascii="仿宋" w:hAnsi="仿宋" w:eastAsia="仿宋"/>
          <w:b/>
          <w:bCs/>
          <w:color w:val="auto"/>
          <w:sz w:val="32"/>
          <w:szCs w:val="32"/>
        </w:rPr>
        <w:t>旧改类。</w:t>
      </w:r>
      <w:r>
        <w:rPr>
          <w:rFonts w:hint="eastAsia" w:ascii="仿宋" w:hAnsi="仿宋" w:eastAsia="仿宋"/>
          <w:color w:val="auto"/>
          <w:sz w:val="32"/>
          <w:szCs w:val="32"/>
        </w:rPr>
        <w:t>指对存量社区的整合提升，包括以公共服务设施提升为主要内容的局部拆除改造和与老旧小区改造相统筹的社区建设。旧改类未来社区通过老旧小去改造、数字化智慧化改造、插花式改扩建和“补短板”式功能嵌入的方式创建；落实未来社区数字社会建设要求，实现场景“线上”智慧化功能全实现、服务应用实施单元全覆盖，并逐步向规划单元延伸覆盖；“查漏补缺”优化完善标配场景设施配置，整合社区及周边空地、荒地、政府公共用房等空间资源和运营资源，灵活采取补建、购置、置换、租赁、改造等方式配套相关设施，加强空间集约复合利用；按照选配场景建设标准要求，因地制宜实施社区环境和硬件设施的改造提升。鼓励有条件的老旧小区按照上述理念打造未来社区。</w:t>
      </w:r>
    </w:p>
    <w:p>
      <w:pPr>
        <w:tabs>
          <w:tab w:val="left" w:pos="420"/>
        </w:tabs>
        <w:ind w:firstLine="643" w:firstLineChars="200"/>
        <w:outlineLvl w:val="1"/>
        <w:rPr>
          <w:rFonts w:ascii="仿宋" w:hAnsi="仿宋" w:eastAsia="仿宋"/>
          <w:color w:val="auto"/>
          <w:sz w:val="32"/>
          <w:szCs w:val="32"/>
        </w:rPr>
      </w:pPr>
      <w:r>
        <w:rPr>
          <w:rFonts w:hint="eastAsia" w:ascii="仿宋" w:hAnsi="仿宋" w:eastAsia="仿宋"/>
          <w:b/>
          <w:bCs/>
          <w:color w:val="auto"/>
          <w:sz w:val="32"/>
          <w:szCs w:val="32"/>
        </w:rPr>
        <w:t>2</w:t>
      </w:r>
      <w:r>
        <w:rPr>
          <w:rFonts w:ascii="仿宋" w:hAnsi="仿宋" w:eastAsia="仿宋"/>
          <w:b/>
          <w:bCs/>
          <w:color w:val="auto"/>
          <w:sz w:val="32"/>
          <w:szCs w:val="32"/>
        </w:rPr>
        <w:t>.</w:t>
      </w:r>
      <w:r>
        <w:rPr>
          <w:rFonts w:hint="eastAsia" w:ascii="仿宋" w:hAnsi="仿宋" w:eastAsia="仿宋"/>
          <w:b/>
          <w:bCs/>
          <w:color w:val="auto"/>
          <w:sz w:val="32"/>
          <w:szCs w:val="32"/>
        </w:rPr>
        <w:t>新建类。</w:t>
      </w:r>
      <w:r>
        <w:rPr>
          <w:rFonts w:hint="eastAsia" w:ascii="仿宋" w:hAnsi="仿宋" w:eastAsia="仿宋"/>
          <w:color w:val="auto"/>
          <w:sz w:val="32"/>
          <w:szCs w:val="32"/>
        </w:rPr>
        <w:t>包含规划新建和拆除重建，规划新建类优先在人口集聚潜力大、公共交通便捷、地上地下空间复合开发禀赋好的城市发展核心区中开展创建；拆除重建类依托存在较大安全隐患的住宅小区开展创建。系统性打造“三化九场 景”体系，全方位探索新文化、新技术、新业态、新模式创新与应用，打造未来生活方式变革的美好家园示范标杆。</w:t>
      </w:r>
    </w:p>
    <w:p>
      <w:pPr>
        <w:pStyle w:val="11"/>
        <w:numPr>
          <w:ilvl w:val="0"/>
          <w:numId w:val="0"/>
        </w:numPr>
        <w:tabs>
          <w:tab w:val="left" w:pos="420"/>
        </w:tabs>
        <w:ind w:firstLine="640" w:firstLineChars="200"/>
        <w:outlineLvl w:val="1"/>
        <w:rPr>
          <w:rFonts w:hint="eastAsia" w:ascii="楷体" w:hAnsi="楷体" w:eastAsia="仿宋_GB2312"/>
          <w:color w:val="auto"/>
          <w:sz w:val="32"/>
          <w:szCs w:val="32"/>
        </w:rPr>
      </w:pPr>
      <w:r>
        <w:rPr>
          <w:rFonts w:hint="eastAsia" w:ascii="楷体" w:hAnsi="楷体" w:eastAsia="楷体"/>
          <w:b w:val="0"/>
          <w:bCs w:val="0"/>
          <w:color w:val="auto"/>
          <w:sz w:val="32"/>
          <w:szCs w:val="32"/>
          <w:lang w:eastAsia="zh-CN"/>
        </w:rPr>
        <w:t>（五）</w:t>
      </w:r>
      <w:r>
        <w:rPr>
          <w:rFonts w:hint="eastAsia" w:ascii="楷体" w:hAnsi="楷体" w:eastAsia="楷体"/>
          <w:b w:val="0"/>
          <w:bCs w:val="0"/>
          <w:color w:val="auto"/>
          <w:sz w:val="32"/>
          <w:szCs w:val="32"/>
        </w:rPr>
        <w:t>资金平衡。</w:t>
      </w:r>
      <w:r>
        <w:rPr>
          <w:rFonts w:hint="eastAsia" w:ascii="仿宋" w:hAnsi="仿宋" w:eastAsia="仿宋" w:cs="仿宋"/>
          <w:color w:val="auto"/>
          <w:sz w:val="32"/>
          <w:szCs w:val="32"/>
          <w:lang w:eastAsia="zh-CN"/>
        </w:rPr>
        <w:t>在符合未来社区建设标准、可市场化操作前提下，落实浙政办发〔2019〕60 号文件有关要求，促进建设期与运营期资金平衡。新建类项目通过标准地、带方案出让的方式，合理配置经营用房，用于保障全生命周期运营资金平衡；旧改类项目应充分考虑业态配置，实现运营期降本增效。</w:t>
      </w:r>
    </w:p>
    <w:p>
      <w:pPr>
        <w:pStyle w:val="11"/>
        <w:numPr>
          <w:ilvl w:val="0"/>
          <w:numId w:val="0"/>
        </w:numPr>
        <w:tabs>
          <w:tab w:val="left" w:pos="420"/>
        </w:tabs>
        <w:ind w:firstLine="640" w:firstLineChars="200"/>
        <w:outlineLvl w:val="1"/>
        <w:rPr>
          <w:rFonts w:hint="eastAsia" w:ascii="仿宋" w:hAnsi="仿宋" w:eastAsia="仿宋" w:cs="仿宋"/>
          <w:color w:val="auto"/>
          <w:sz w:val="32"/>
          <w:szCs w:val="32"/>
        </w:rPr>
      </w:pPr>
      <w:r>
        <w:rPr>
          <w:rFonts w:hint="eastAsia" w:ascii="楷体" w:hAnsi="楷体" w:eastAsia="楷体"/>
          <w:b w:val="0"/>
          <w:bCs w:val="0"/>
          <w:color w:val="auto"/>
          <w:sz w:val="32"/>
          <w:szCs w:val="32"/>
          <w:lang w:eastAsia="zh-CN"/>
        </w:rPr>
        <w:t>（六）</w:t>
      </w:r>
      <w:r>
        <w:rPr>
          <w:rFonts w:hint="eastAsia" w:ascii="楷体" w:hAnsi="楷体" w:eastAsia="楷体"/>
          <w:b w:val="0"/>
          <w:bCs w:val="0"/>
          <w:color w:val="auto"/>
          <w:sz w:val="32"/>
          <w:szCs w:val="32"/>
        </w:rPr>
        <w:t>时间要求。</w:t>
      </w:r>
      <w:r>
        <w:rPr>
          <w:rFonts w:hint="eastAsia" w:ascii="仿宋" w:hAnsi="仿宋" w:eastAsia="仿宋" w:cs="仿宋"/>
          <w:color w:val="auto"/>
          <w:sz w:val="32"/>
          <w:szCs w:val="32"/>
          <w:lang w:eastAsia="zh-CN"/>
        </w:rPr>
        <w:t>经省（市）政府同意公布后的创建项目，旧改类原则上</w:t>
      </w:r>
      <w:r>
        <w:rPr>
          <w:rFonts w:hint="eastAsia" w:ascii="仿宋" w:hAnsi="仿宋" w:eastAsia="仿宋" w:cs="仿宋"/>
          <w:color w:val="auto"/>
          <w:sz w:val="32"/>
          <w:szCs w:val="32"/>
          <w:lang w:val="en-US" w:eastAsia="zh-CN"/>
        </w:rPr>
        <w:t>1年基本完成创建工作，其中涉及拆改的可放宽至2年；新建类原则上3年基本完成创建工作，其中涉及拆迁安置的，可根据实际情况适当延长至4年。</w:t>
      </w:r>
    </w:p>
    <w:p>
      <w:pPr>
        <w:pStyle w:val="11"/>
        <w:numPr>
          <w:ilvl w:val="0"/>
          <w:numId w:val="0"/>
        </w:numPr>
        <w:ind w:firstLine="640" w:firstLineChars="200"/>
        <w:outlineLvl w:val="1"/>
        <w:rPr>
          <w:rFonts w:ascii="仿宋" w:hAnsi="仿宋" w:eastAsia="仿宋"/>
          <w:color w:val="auto"/>
          <w:sz w:val="32"/>
          <w:szCs w:val="32"/>
        </w:rPr>
      </w:pPr>
      <w:r>
        <w:rPr>
          <w:rFonts w:hint="eastAsia" w:ascii="楷体" w:hAnsi="楷体" w:eastAsia="楷体"/>
          <w:b w:val="0"/>
          <w:bCs w:val="0"/>
          <w:color w:val="auto"/>
          <w:sz w:val="32"/>
          <w:szCs w:val="32"/>
          <w:lang w:eastAsia="zh-CN"/>
        </w:rPr>
        <w:t>（七）</w:t>
      </w:r>
      <w:r>
        <w:rPr>
          <w:rFonts w:hint="eastAsia" w:ascii="楷体" w:hAnsi="楷体" w:eastAsia="楷体"/>
          <w:b w:val="0"/>
          <w:bCs w:val="0"/>
          <w:color w:val="auto"/>
          <w:sz w:val="32"/>
          <w:szCs w:val="32"/>
        </w:rPr>
        <w:t>验收命名。</w:t>
      </w:r>
      <w:r>
        <w:rPr>
          <w:rFonts w:hint="eastAsia" w:ascii="仿宋" w:hAnsi="仿宋" w:eastAsia="仿宋"/>
          <w:color w:val="auto"/>
          <w:sz w:val="32"/>
          <w:szCs w:val="32"/>
        </w:rPr>
        <w:t>由街道（乡镇）提出验收申请</w:t>
      </w:r>
      <w:r>
        <w:rPr>
          <w:rFonts w:hint="eastAsia" w:ascii="仿宋" w:hAnsi="仿宋" w:eastAsia="仿宋"/>
          <w:color w:val="auto"/>
          <w:sz w:val="32"/>
          <w:szCs w:val="32"/>
          <w:lang w:eastAsia="zh-CN"/>
        </w:rPr>
        <w:t>并组织开展验收</w:t>
      </w:r>
      <w:r>
        <w:rPr>
          <w:rFonts w:hint="eastAsia" w:ascii="仿宋" w:hAnsi="仿宋" w:eastAsia="仿宋"/>
          <w:color w:val="auto"/>
          <w:sz w:val="32"/>
          <w:szCs w:val="32"/>
        </w:rPr>
        <w:t>，区城乡风貌整治提升（未来社区建设）工作领导小组办公室组织各部门对创建项目进行</w:t>
      </w:r>
      <w:r>
        <w:rPr>
          <w:rFonts w:hint="eastAsia" w:ascii="仿宋" w:hAnsi="仿宋" w:eastAsia="仿宋"/>
          <w:color w:val="auto"/>
          <w:sz w:val="32"/>
          <w:szCs w:val="32"/>
          <w:lang w:eastAsia="zh-CN"/>
        </w:rPr>
        <w:t>复核</w:t>
      </w:r>
      <w:r>
        <w:rPr>
          <w:rFonts w:hint="eastAsia" w:ascii="仿宋" w:hAnsi="仿宋" w:eastAsia="仿宋"/>
          <w:color w:val="auto"/>
          <w:sz w:val="32"/>
          <w:szCs w:val="32"/>
        </w:rPr>
        <w:t>。通过</w:t>
      </w:r>
      <w:r>
        <w:rPr>
          <w:rFonts w:hint="eastAsia" w:ascii="仿宋" w:hAnsi="仿宋" w:eastAsia="仿宋"/>
          <w:color w:val="auto"/>
          <w:sz w:val="32"/>
          <w:szCs w:val="32"/>
          <w:lang w:eastAsia="zh-CN"/>
        </w:rPr>
        <w:t>复核</w:t>
      </w:r>
      <w:r>
        <w:rPr>
          <w:rFonts w:hint="eastAsia" w:ascii="仿宋" w:hAnsi="仿宋" w:eastAsia="仿宋"/>
          <w:color w:val="auto"/>
          <w:sz w:val="32"/>
          <w:szCs w:val="32"/>
        </w:rPr>
        <w:t>的项目按照省市验收流程提请验收。</w:t>
      </w:r>
    </w:p>
    <w:p>
      <w:pPr>
        <w:pStyle w:val="11"/>
        <w:numPr>
          <w:ilvl w:val="0"/>
          <w:numId w:val="10"/>
        </w:numPr>
        <w:ind w:left="0" w:leftChars="0" w:firstLine="640" w:firstLineChars="200"/>
        <w:outlineLvl w:val="0"/>
        <w:rPr>
          <w:rFonts w:ascii="黑体" w:hAnsi="黑体" w:eastAsia="黑体"/>
          <w:color w:val="auto"/>
          <w:sz w:val="32"/>
          <w:szCs w:val="32"/>
        </w:rPr>
      </w:pPr>
      <w:r>
        <w:rPr>
          <w:rFonts w:hint="eastAsia" w:ascii="黑体" w:hAnsi="黑体" w:eastAsia="黑体"/>
          <w:color w:val="auto"/>
          <w:sz w:val="32"/>
          <w:szCs w:val="32"/>
        </w:rPr>
        <w:t>保障</w:t>
      </w:r>
      <w:r>
        <w:rPr>
          <w:rFonts w:hint="eastAsia" w:ascii="黑体" w:hAnsi="黑体" w:eastAsia="黑体"/>
          <w:color w:val="auto"/>
          <w:sz w:val="32"/>
          <w:szCs w:val="32"/>
          <w:lang w:eastAsia="zh-CN"/>
        </w:rPr>
        <w:t>机制</w:t>
      </w:r>
    </w:p>
    <w:p>
      <w:pPr>
        <w:pStyle w:val="11"/>
        <w:numPr>
          <w:ilvl w:val="0"/>
          <w:numId w:val="11"/>
        </w:numPr>
        <w:ind w:firstLine="640" w:firstLineChars="200"/>
        <w:outlineLvl w:val="1"/>
        <w:rPr>
          <w:rFonts w:ascii="仿宋" w:hAnsi="仿宋" w:eastAsia="仿宋"/>
          <w:color w:val="auto"/>
          <w:sz w:val="32"/>
          <w:szCs w:val="32"/>
        </w:rPr>
      </w:pPr>
      <w:r>
        <w:rPr>
          <w:rFonts w:hint="eastAsia" w:ascii="楷体" w:hAnsi="楷体" w:eastAsia="楷体"/>
          <w:b w:val="0"/>
          <w:bCs w:val="0"/>
          <w:color w:val="auto"/>
          <w:sz w:val="32"/>
          <w:szCs w:val="32"/>
        </w:rPr>
        <w:t>加强组织领导</w:t>
      </w:r>
      <w:r>
        <w:rPr>
          <w:rFonts w:hint="eastAsia" w:ascii="楷体" w:hAnsi="楷体" w:eastAsia="楷体"/>
          <w:b w:val="0"/>
          <w:bCs w:val="0"/>
          <w:color w:val="auto"/>
          <w:sz w:val="32"/>
          <w:szCs w:val="32"/>
          <w:lang w:eastAsia="zh-CN"/>
        </w:rPr>
        <w:t>。</w:t>
      </w:r>
      <w:r>
        <w:rPr>
          <w:rFonts w:hint="eastAsia" w:ascii="仿宋" w:hAnsi="仿宋" w:eastAsia="仿宋"/>
          <w:color w:val="auto"/>
          <w:sz w:val="32"/>
          <w:szCs w:val="32"/>
        </w:rPr>
        <w:t>强化区领导小组办公室统筹，</w:t>
      </w:r>
      <w:r>
        <w:rPr>
          <w:rFonts w:ascii="仿宋" w:hAnsi="仿宋" w:eastAsia="仿宋"/>
          <w:color w:val="auto"/>
          <w:sz w:val="32"/>
          <w:szCs w:val="32"/>
        </w:rPr>
        <w:t>建立</w:t>
      </w:r>
      <w:r>
        <w:rPr>
          <w:rFonts w:hint="eastAsia" w:ascii="仿宋" w:hAnsi="仿宋" w:eastAsia="仿宋"/>
          <w:color w:val="auto"/>
          <w:sz w:val="32"/>
          <w:szCs w:val="32"/>
        </w:rPr>
        <w:t>我区</w:t>
      </w:r>
      <w:r>
        <w:rPr>
          <w:rFonts w:ascii="仿宋" w:hAnsi="仿宋" w:eastAsia="仿宋"/>
          <w:color w:val="auto"/>
          <w:sz w:val="32"/>
          <w:szCs w:val="32"/>
        </w:rPr>
        <w:t>未来社区建设工作机制，</w:t>
      </w:r>
      <w:r>
        <w:rPr>
          <w:rFonts w:hint="eastAsia" w:ascii="仿宋" w:hAnsi="仿宋" w:eastAsia="仿宋"/>
          <w:color w:val="auto"/>
          <w:sz w:val="32"/>
          <w:szCs w:val="32"/>
        </w:rPr>
        <w:t>每周、每半月、每月进行工作总结和问题梳理，形成问题清单、工作清单、创新清单，明确部门职责，落实各有关部门、街道（乡镇）的责任，</w:t>
      </w:r>
      <w:r>
        <w:rPr>
          <w:rFonts w:ascii="仿宋" w:hAnsi="仿宋" w:eastAsia="仿宋"/>
          <w:color w:val="auto"/>
          <w:sz w:val="32"/>
          <w:szCs w:val="32"/>
        </w:rPr>
        <w:t>强化协同推进，确保</w:t>
      </w:r>
      <w:r>
        <w:rPr>
          <w:rFonts w:hint="eastAsia" w:ascii="仿宋" w:hAnsi="仿宋" w:eastAsia="仿宋"/>
          <w:color w:val="auto"/>
          <w:sz w:val="32"/>
          <w:szCs w:val="32"/>
        </w:rPr>
        <w:t>创建项目</w:t>
      </w:r>
      <w:r>
        <w:rPr>
          <w:rFonts w:ascii="仿宋" w:hAnsi="仿宋" w:eastAsia="仿宋"/>
          <w:color w:val="auto"/>
          <w:sz w:val="32"/>
          <w:szCs w:val="32"/>
        </w:rPr>
        <w:t>各项任务落到实处。</w:t>
      </w:r>
    </w:p>
    <w:p>
      <w:pPr>
        <w:pStyle w:val="11"/>
        <w:numPr>
          <w:ilvl w:val="0"/>
          <w:numId w:val="12"/>
        </w:numPr>
        <w:ind w:firstLine="640" w:firstLineChars="200"/>
        <w:outlineLvl w:val="1"/>
        <w:rPr>
          <w:rFonts w:hint="eastAsia" w:ascii="仿宋" w:hAnsi="仿宋" w:eastAsia="仿宋" w:cstheme="minorBidi"/>
          <w:color w:val="auto"/>
          <w:sz w:val="32"/>
          <w:szCs w:val="32"/>
          <w:lang w:val="en-US" w:eastAsia="zh-CN" w:bidi="ar-SA"/>
        </w:rPr>
      </w:pPr>
      <w:r>
        <w:rPr>
          <w:rFonts w:hint="eastAsia" w:ascii="楷体" w:hAnsi="楷体" w:eastAsia="楷体"/>
          <w:b w:val="0"/>
          <w:bCs w:val="0"/>
          <w:color w:val="auto"/>
          <w:sz w:val="32"/>
          <w:szCs w:val="32"/>
        </w:rPr>
        <w:t>强化规划统领</w:t>
      </w:r>
      <w:r>
        <w:rPr>
          <w:rFonts w:hint="eastAsia" w:ascii="楷体" w:hAnsi="楷体" w:eastAsia="楷体"/>
          <w:b w:val="0"/>
          <w:bCs w:val="0"/>
          <w:color w:val="auto"/>
          <w:sz w:val="32"/>
          <w:szCs w:val="32"/>
          <w:lang w:eastAsia="zh-CN"/>
        </w:rPr>
        <w:t>。</w:t>
      </w:r>
      <w:r>
        <w:rPr>
          <w:rFonts w:hint="eastAsia" w:ascii="仿宋" w:hAnsi="仿宋" w:eastAsia="仿宋" w:cstheme="minorBidi"/>
          <w:color w:val="auto"/>
          <w:sz w:val="32"/>
          <w:szCs w:val="32"/>
          <w:lang w:val="en-US" w:eastAsia="zh-CN" w:bidi="ar-SA"/>
        </w:rPr>
        <w:t>加快启动城镇社区建设规划编制，按照“一社一画像”的要求，形成以社区建设规划引领未来社区落地的体制机制，以建设规划统筹各条线公共服务资源在社区落地。要深化未来社区规划与国土空间规划、控制性详细规划等有序衔接，将有关建设要求嵌入城乡整体发展布局，传导到土地出让、旧改新建等各项工作中去，加快推动共同富裕社区场景增点扩面。</w:t>
      </w:r>
    </w:p>
    <w:p>
      <w:pPr>
        <w:pStyle w:val="11"/>
        <w:numPr>
          <w:ilvl w:val="0"/>
          <w:numId w:val="13"/>
        </w:numPr>
        <w:ind w:left="0" w:firstLine="640" w:firstLineChars="200"/>
        <w:outlineLvl w:val="1"/>
        <w:rPr>
          <w:rFonts w:hint="eastAsia" w:ascii="仿宋" w:hAnsi="仿宋" w:eastAsia="仿宋"/>
          <w:color w:val="auto"/>
          <w:sz w:val="32"/>
          <w:szCs w:val="32"/>
        </w:rPr>
      </w:pPr>
      <w:r>
        <w:rPr>
          <w:rFonts w:hint="eastAsia" w:ascii="楷体" w:hAnsi="楷体" w:eastAsia="楷体"/>
          <w:b w:val="0"/>
          <w:bCs w:val="0"/>
          <w:color w:val="auto"/>
          <w:sz w:val="32"/>
          <w:szCs w:val="32"/>
        </w:rPr>
        <w:t>落实经费保障</w:t>
      </w:r>
      <w:r>
        <w:rPr>
          <w:rFonts w:hint="eastAsia" w:ascii="楷体" w:hAnsi="楷体" w:eastAsia="楷体"/>
          <w:b w:val="0"/>
          <w:bCs w:val="0"/>
          <w:color w:val="auto"/>
          <w:sz w:val="32"/>
          <w:szCs w:val="32"/>
          <w:lang w:eastAsia="zh-CN"/>
        </w:rPr>
        <w:t>。</w:t>
      </w:r>
      <w:r>
        <w:rPr>
          <w:rFonts w:hint="eastAsia" w:ascii="仿宋" w:hAnsi="仿宋" w:eastAsia="仿宋"/>
          <w:color w:val="auto"/>
          <w:sz w:val="32"/>
          <w:szCs w:val="32"/>
        </w:rPr>
        <w:t>区财政统筹支持未来社区建设工作。未来社区创建项目包含的信息化项目（含统建及个性化定制项目）纳入区信息化专项项目实施；未来社区创建项目中能列入专项经费的建设内容，列入相关部门专项统筹实施</w:t>
      </w:r>
      <w:r>
        <w:rPr>
          <w:rFonts w:hint="eastAsia" w:ascii="仿宋" w:hAnsi="仿宋" w:eastAsia="仿宋"/>
          <w:color w:val="auto"/>
          <w:sz w:val="32"/>
          <w:szCs w:val="32"/>
          <w:lang w:eastAsia="zh-CN"/>
        </w:rPr>
        <w:t>，各部门应将专项经费向未来社区创建倾斜</w:t>
      </w:r>
      <w:r>
        <w:rPr>
          <w:rFonts w:hint="eastAsia" w:ascii="仿宋" w:hAnsi="仿宋" w:eastAsia="仿宋"/>
          <w:color w:val="auto"/>
          <w:sz w:val="32"/>
          <w:szCs w:val="32"/>
        </w:rPr>
        <w:t>。区财政设立“未来社区建设专项”，</w:t>
      </w:r>
      <w:r>
        <w:rPr>
          <w:rFonts w:hint="eastAsia" w:ascii="仿宋" w:hAnsi="仿宋" w:eastAsia="仿宋"/>
          <w:color w:val="auto"/>
          <w:sz w:val="32"/>
          <w:szCs w:val="32"/>
          <w:lang w:eastAsia="zh-CN"/>
        </w:rPr>
        <w:t>采用以奖代补方式</w:t>
      </w:r>
      <w:r>
        <w:rPr>
          <w:rFonts w:hint="eastAsia" w:ascii="仿宋" w:hAnsi="仿宋" w:eastAsia="仿宋"/>
          <w:color w:val="auto"/>
          <w:sz w:val="32"/>
          <w:szCs w:val="32"/>
        </w:rPr>
        <w:t>用于支持街道（乡镇）创建未来社区，具体支持未来社区创建项目的咨询设计、工程建设、设备采购等费用；</w:t>
      </w:r>
      <w:r>
        <w:rPr>
          <w:rFonts w:hint="eastAsia" w:ascii="仿宋" w:hAnsi="仿宋" w:eastAsia="仿宋"/>
          <w:color w:val="auto"/>
          <w:sz w:val="32"/>
          <w:szCs w:val="32"/>
          <w:lang w:eastAsia="zh-CN"/>
        </w:rPr>
        <w:t>通过</w:t>
      </w:r>
      <w:r>
        <w:rPr>
          <w:rFonts w:hint="eastAsia" w:ascii="仿宋" w:hAnsi="仿宋" w:eastAsia="仿宋"/>
          <w:color w:val="auto"/>
          <w:sz w:val="32"/>
          <w:szCs w:val="32"/>
        </w:rPr>
        <w:t>市级</w:t>
      </w:r>
      <w:r>
        <w:rPr>
          <w:rFonts w:hint="eastAsia" w:ascii="仿宋" w:hAnsi="仿宋" w:eastAsia="仿宋"/>
          <w:color w:val="auto"/>
          <w:sz w:val="32"/>
          <w:szCs w:val="32"/>
          <w:lang w:eastAsia="zh-CN"/>
        </w:rPr>
        <w:t>验收的奖励</w:t>
      </w:r>
      <w:r>
        <w:rPr>
          <w:rFonts w:hint="eastAsia" w:ascii="仿宋" w:hAnsi="仿宋" w:eastAsia="仿宋"/>
          <w:color w:val="auto"/>
          <w:sz w:val="32"/>
          <w:szCs w:val="32"/>
          <w:lang w:val="en-US" w:eastAsia="zh-CN"/>
        </w:rPr>
        <w:t>1200</w:t>
      </w:r>
      <w:r>
        <w:rPr>
          <w:rFonts w:hint="eastAsia" w:ascii="仿宋" w:hAnsi="仿宋" w:eastAsia="仿宋"/>
          <w:color w:val="auto"/>
          <w:sz w:val="32"/>
          <w:szCs w:val="32"/>
        </w:rPr>
        <w:t>万</w:t>
      </w:r>
      <w:r>
        <w:rPr>
          <w:rFonts w:hint="eastAsia" w:ascii="仿宋" w:hAnsi="仿宋" w:eastAsia="仿宋"/>
          <w:color w:val="auto"/>
          <w:sz w:val="32"/>
          <w:szCs w:val="32"/>
          <w:lang w:eastAsia="zh-CN"/>
        </w:rPr>
        <w:t>元</w:t>
      </w:r>
      <w:r>
        <w:rPr>
          <w:rFonts w:hint="eastAsia" w:ascii="仿宋" w:hAnsi="仿宋" w:eastAsia="仿宋"/>
          <w:color w:val="auto"/>
          <w:sz w:val="32"/>
          <w:szCs w:val="32"/>
        </w:rPr>
        <w:t>，</w:t>
      </w:r>
      <w:r>
        <w:rPr>
          <w:rFonts w:hint="eastAsia" w:ascii="仿宋" w:hAnsi="仿宋" w:eastAsia="仿宋"/>
          <w:color w:val="auto"/>
          <w:sz w:val="32"/>
          <w:szCs w:val="32"/>
          <w:lang w:eastAsia="zh-CN"/>
        </w:rPr>
        <w:t>通过</w:t>
      </w:r>
      <w:r>
        <w:rPr>
          <w:rFonts w:hint="eastAsia" w:ascii="仿宋" w:hAnsi="仿宋" w:eastAsia="仿宋"/>
          <w:color w:val="auto"/>
          <w:sz w:val="32"/>
          <w:szCs w:val="32"/>
        </w:rPr>
        <w:t>省级</w:t>
      </w:r>
      <w:r>
        <w:rPr>
          <w:rFonts w:hint="eastAsia" w:ascii="仿宋" w:hAnsi="仿宋" w:eastAsia="仿宋"/>
          <w:color w:val="auto"/>
          <w:sz w:val="32"/>
          <w:szCs w:val="32"/>
          <w:lang w:eastAsia="zh-CN"/>
        </w:rPr>
        <w:t>验收奖励</w:t>
      </w:r>
      <w:r>
        <w:rPr>
          <w:rFonts w:hint="eastAsia" w:ascii="仿宋" w:hAnsi="仿宋" w:eastAsia="仿宋"/>
          <w:color w:val="auto"/>
          <w:sz w:val="32"/>
          <w:szCs w:val="32"/>
          <w:lang w:val="en-US" w:eastAsia="zh-CN"/>
        </w:rPr>
        <w:t>1500</w:t>
      </w:r>
      <w:r>
        <w:rPr>
          <w:rFonts w:hint="eastAsia" w:ascii="仿宋" w:hAnsi="仿宋" w:eastAsia="仿宋"/>
          <w:color w:val="auto"/>
          <w:sz w:val="32"/>
          <w:szCs w:val="32"/>
        </w:rPr>
        <w:t>万</w:t>
      </w:r>
      <w:r>
        <w:rPr>
          <w:rFonts w:hint="eastAsia" w:ascii="仿宋" w:hAnsi="仿宋" w:eastAsia="仿宋"/>
          <w:color w:val="auto"/>
          <w:sz w:val="32"/>
          <w:szCs w:val="32"/>
          <w:lang w:eastAsia="zh-CN"/>
        </w:rPr>
        <w:t>，最终未超过核定投资额的，按实际奖励</w:t>
      </w:r>
      <w:r>
        <w:rPr>
          <w:rFonts w:hint="eastAsia" w:ascii="仿宋" w:hAnsi="仿宋" w:eastAsia="仿宋"/>
          <w:color w:val="auto"/>
          <w:sz w:val="32"/>
          <w:szCs w:val="32"/>
        </w:rPr>
        <w:t>；</w:t>
      </w:r>
      <w:r>
        <w:rPr>
          <w:rFonts w:hint="eastAsia" w:ascii="仿宋" w:hAnsi="仿宋" w:eastAsia="仿宋"/>
          <w:color w:val="auto"/>
          <w:sz w:val="32"/>
          <w:szCs w:val="32"/>
          <w:lang w:eastAsia="zh-CN"/>
        </w:rPr>
        <w:t>当年未完成创建任务的，区财政补助其项目投资额的</w:t>
      </w:r>
      <w:r>
        <w:rPr>
          <w:rFonts w:hint="eastAsia" w:ascii="仿宋" w:hAnsi="仿宋" w:eastAsia="仿宋"/>
          <w:color w:val="auto"/>
          <w:sz w:val="32"/>
          <w:szCs w:val="32"/>
          <w:lang w:val="en-US" w:eastAsia="zh-CN"/>
        </w:rPr>
        <w:t>70%；</w:t>
      </w:r>
      <w:r>
        <w:rPr>
          <w:rFonts w:hint="eastAsia" w:ascii="仿宋" w:hAnsi="仿宋" w:eastAsia="仿宋"/>
          <w:color w:val="auto"/>
          <w:sz w:val="32"/>
          <w:szCs w:val="32"/>
        </w:rPr>
        <w:t>创建</w:t>
      </w:r>
      <w:r>
        <w:rPr>
          <w:rFonts w:hint="eastAsia" w:ascii="仿宋" w:hAnsi="仿宋" w:eastAsia="仿宋"/>
          <w:color w:val="auto"/>
          <w:sz w:val="32"/>
          <w:szCs w:val="32"/>
          <w:lang w:eastAsia="zh-CN"/>
        </w:rPr>
        <w:t>和奖补</w:t>
      </w:r>
      <w:r>
        <w:rPr>
          <w:rFonts w:hint="eastAsia" w:ascii="仿宋" w:hAnsi="仿宋" w:eastAsia="仿宋"/>
          <w:color w:val="auto"/>
          <w:sz w:val="32"/>
          <w:szCs w:val="32"/>
        </w:rPr>
        <w:t>资金不足部分，由乡镇街道自筹解决。</w:t>
      </w:r>
    </w:p>
    <w:p>
      <w:pPr>
        <w:numPr>
          <w:ilvl w:val="0"/>
          <w:numId w:val="14"/>
        </w:numPr>
        <w:ind w:firstLine="640" w:firstLineChars="200"/>
        <w:outlineLvl w:val="1"/>
        <w:rPr>
          <w:rFonts w:ascii="仿宋" w:hAnsi="仿宋" w:eastAsia="仿宋"/>
          <w:color w:val="auto"/>
          <w:sz w:val="32"/>
          <w:szCs w:val="32"/>
        </w:rPr>
      </w:pPr>
      <w:r>
        <w:rPr>
          <w:rFonts w:hint="eastAsia" w:ascii="楷体" w:hAnsi="楷体" w:eastAsia="楷体" w:cs="楷体"/>
          <w:b w:val="0"/>
          <w:bCs w:val="0"/>
          <w:color w:val="auto"/>
          <w:sz w:val="32"/>
          <w:szCs w:val="32"/>
        </w:rPr>
        <w:t>鼓励社会参与</w:t>
      </w:r>
      <w:r>
        <w:rPr>
          <w:rFonts w:hint="eastAsia" w:ascii="楷体" w:hAnsi="楷体" w:eastAsia="楷体" w:cs="楷体"/>
          <w:b w:val="0"/>
          <w:bCs w:val="0"/>
          <w:color w:val="auto"/>
          <w:sz w:val="32"/>
          <w:szCs w:val="32"/>
          <w:lang w:eastAsia="zh-CN"/>
        </w:rPr>
        <w:t>。</w:t>
      </w:r>
      <w:r>
        <w:rPr>
          <w:rFonts w:hint="eastAsia" w:ascii="仿宋" w:hAnsi="仿宋" w:eastAsia="仿宋"/>
          <w:color w:val="auto"/>
          <w:sz w:val="32"/>
          <w:szCs w:val="32"/>
        </w:rPr>
        <w:t>引导优质国资、民 资、外资投入未来社区建设运营、管理服务，未来社区创建中确需租用（借用）国有房产的，由乡镇街道提出意见，按照“街道申请，公司审核，领导小组办公室和区国资办签证”的模式办理（租用）借用手续，涉及租金费用根据区相关规定执行。鼓励优先采取</w:t>
      </w:r>
      <w:r>
        <w:rPr>
          <w:rFonts w:hint="eastAsia" w:ascii="仿宋" w:hAnsi="仿宋" w:eastAsia="仿宋"/>
          <w:color w:val="auto"/>
          <w:sz w:val="32"/>
          <w:szCs w:val="32"/>
          <w:lang w:val="zh-CN"/>
        </w:rPr>
        <w:t>“项目</w:t>
      </w:r>
      <w:r>
        <w:rPr>
          <w:rFonts w:hint="eastAsia" w:ascii="仿宋" w:hAnsi="仿宋" w:eastAsia="仿宋"/>
          <w:color w:val="auto"/>
          <w:sz w:val="32"/>
          <w:szCs w:val="32"/>
        </w:rPr>
        <w:t>全过程咨询+工程总承包</w:t>
      </w:r>
      <w:r>
        <w:rPr>
          <w:rFonts w:hint="eastAsia" w:ascii="仿宋" w:hAnsi="仿宋" w:eastAsia="仿宋"/>
          <w:color w:val="auto"/>
          <w:sz w:val="32"/>
          <w:szCs w:val="32"/>
          <w:lang w:val="zh-CN"/>
        </w:rPr>
        <w:t>”管</w:t>
      </w:r>
      <w:r>
        <w:rPr>
          <w:rFonts w:hint="eastAsia" w:ascii="仿宋" w:hAnsi="仿宋" w:eastAsia="仿宋"/>
          <w:color w:val="auto"/>
          <w:sz w:val="32"/>
          <w:szCs w:val="32"/>
        </w:rPr>
        <w:t>理服务方式。</w:t>
      </w:r>
    </w:p>
    <w:p>
      <w:pPr>
        <w:pStyle w:val="11"/>
        <w:numPr>
          <w:ilvl w:val="0"/>
          <w:numId w:val="15"/>
        </w:numPr>
        <w:ind w:firstLine="640" w:firstLineChars="200"/>
        <w:outlineLvl w:val="1"/>
        <w:rPr>
          <w:rFonts w:hint="eastAsia" w:ascii="仿宋" w:hAnsi="仿宋" w:eastAsia="仿宋"/>
          <w:color w:val="auto"/>
          <w:sz w:val="32"/>
          <w:szCs w:val="32"/>
        </w:rPr>
      </w:pPr>
      <w:r>
        <w:rPr>
          <w:rFonts w:hint="eastAsia" w:ascii="楷体" w:hAnsi="楷体" w:eastAsia="楷体"/>
          <w:b w:val="0"/>
          <w:bCs w:val="0"/>
          <w:color w:val="auto"/>
          <w:sz w:val="32"/>
          <w:szCs w:val="32"/>
        </w:rPr>
        <w:t>营造良好氛围</w:t>
      </w:r>
      <w:r>
        <w:rPr>
          <w:rFonts w:hint="eastAsia" w:ascii="楷体" w:hAnsi="楷体" w:eastAsia="楷体"/>
          <w:b w:val="0"/>
          <w:bCs w:val="0"/>
          <w:color w:val="auto"/>
          <w:sz w:val="32"/>
          <w:szCs w:val="32"/>
          <w:lang w:eastAsia="zh-CN"/>
        </w:rPr>
        <w:t>。</w:t>
      </w:r>
      <w:r>
        <w:rPr>
          <w:rFonts w:hint="eastAsia" w:ascii="仿宋" w:hAnsi="仿宋" w:eastAsia="仿宋"/>
          <w:color w:val="auto"/>
          <w:sz w:val="32"/>
          <w:szCs w:val="32"/>
        </w:rPr>
        <w:t>加强未来社区规划建设信息开放共享，积极鼓励社会公众共谋、共建、共享未来社区，通过媒体宣传、现场观摩等方式，及时总结推广成功经验和典型做法，营造各创建的良好氛围。</w:t>
      </w:r>
    </w:p>
    <w:p>
      <w:pPr>
        <w:pStyle w:val="11"/>
        <w:numPr>
          <w:ilvl w:val="0"/>
          <w:numId w:val="15"/>
        </w:numPr>
        <w:ind w:firstLine="640" w:firstLineChars="200"/>
        <w:outlineLvl w:val="1"/>
        <w:rPr>
          <w:rFonts w:hint="eastAsia" w:ascii="仿宋" w:hAnsi="仿宋" w:eastAsia="仿宋"/>
          <w:color w:val="auto"/>
          <w:sz w:val="32"/>
          <w:szCs w:val="32"/>
        </w:rPr>
      </w:pPr>
      <w:r>
        <w:rPr>
          <w:rFonts w:hint="eastAsia" w:ascii="楷体" w:hAnsi="楷体" w:eastAsia="楷体"/>
          <w:b w:val="0"/>
          <w:bCs w:val="0"/>
          <w:color w:val="auto"/>
          <w:sz w:val="32"/>
          <w:szCs w:val="32"/>
          <w:lang w:eastAsia="zh-CN"/>
        </w:rPr>
        <w:t>完善监督考核。</w:t>
      </w:r>
      <w:r>
        <w:rPr>
          <w:rFonts w:hint="eastAsia" w:ascii="仿宋" w:hAnsi="仿宋" w:eastAsia="仿宋"/>
          <w:color w:val="auto"/>
          <w:sz w:val="32"/>
          <w:szCs w:val="32"/>
          <w:lang w:eastAsia="zh-CN"/>
        </w:rPr>
        <w:t>健全考核机制，锚定关键时间节点，开展争先创优，通过挂图作战、精准跟踪，每月进行评价通报。将未来社区</w:t>
      </w:r>
      <w:r>
        <w:rPr>
          <w:rFonts w:hint="eastAsia" w:ascii="仿宋" w:hAnsi="仿宋" w:eastAsia="仿宋"/>
          <w:color w:val="auto"/>
          <w:sz w:val="32"/>
          <w:szCs w:val="32"/>
        </w:rPr>
        <w:t>创建工作纳入区委区政府年度专项工作考核</w:t>
      </w:r>
      <w:r>
        <w:rPr>
          <w:rFonts w:hint="eastAsia" w:ascii="仿宋" w:hAnsi="仿宋" w:eastAsia="仿宋"/>
          <w:color w:val="auto"/>
          <w:sz w:val="32"/>
          <w:szCs w:val="32"/>
          <w:lang w:eastAsia="zh-CN"/>
        </w:rPr>
        <w:t>，创建考核结果作为资金奖补的重要依据。</w:t>
      </w:r>
    </w:p>
    <w:p>
      <w:pPr>
        <w:pStyle w:val="11"/>
        <w:widowControl w:val="0"/>
        <w:numPr>
          <w:ilvl w:val="0"/>
          <w:numId w:val="0"/>
        </w:numPr>
        <w:tabs>
          <w:tab w:val="left" w:pos="420"/>
        </w:tabs>
        <w:jc w:val="both"/>
        <w:outlineLvl w:val="1"/>
        <w:rPr>
          <w:rFonts w:hint="eastAsia" w:ascii="仿宋" w:hAnsi="仿宋" w:eastAsia="仿宋"/>
          <w:color w:val="auto"/>
          <w:sz w:val="32"/>
          <w:szCs w:val="32"/>
        </w:rPr>
      </w:pPr>
    </w:p>
    <w:p>
      <w:pPr>
        <w:pStyle w:val="2"/>
        <w:widowControl w:val="0"/>
        <w:numPr>
          <w:ilvl w:val="0"/>
          <w:numId w:val="0"/>
        </w:numPr>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附件</w:t>
      </w:r>
      <w:r>
        <w:rPr>
          <w:rFonts w:hint="eastAsia" w:ascii="仿宋" w:hAnsi="仿宋" w:eastAsia="仿宋"/>
          <w:color w:val="auto"/>
          <w:sz w:val="32"/>
          <w:szCs w:val="32"/>
          <w:lang w:val="en-US" w:eastAsia="zh-CN"/>
        </w:rPr>
        <w:t>:1.杭州市富阳区未来社区年度轮动项目库（征求意见稿）。</w:t>
      </w:r>
    </w:p>
    <w:p>
      <w:pPr>
        <w:pStyle w:val="2"/>
        <w:widowControl w:val="0"/>
        <w:numPr>
          <w:ilvl w:val="0"/>
          <w:numId w:val="0"/>
        </w:numPr>
        <w:ind w:firstLine="1280" w:firstLineChars="400"/>
        <w:jc w:val="both"/>
        <w:rPr>
          <w:rFonts w:hint="default" w:ascii="仿宋" w:hAnsi="仿宋" w:eastAsia="仿宋"/>
          <w:color w:val="auto"/>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olor w:val="auto"/>
          <w:sz w:val="32"/>
          <w:szCs w:val="32"/>
          <w:lang w:val="en-US" w:eastAsia="zh-CN"/>
        </w:rPr>
        <w:t>2.未来社区创建项目评审标准</w:t>
      </w:r>
    </w:p>
    <w:p>
      <w:pPr>
        <w:rPr>
          <w:rFonts w:ascii="黑体" w:hAnsi="黑体" w:eastAsia="黑体" w:cs="黑体"/>
          <w:color w:val="auto"/>
          <w:sz w:val="32"/>
          <w:szCs w:val="32"/>
        </w:rPr>
      </w:pPr>
      <w:r>
        <w:rPr>
          <w:rFonts w:hint="eastAsia" w:ascii="黑体" w:hAnsi="黑体" w:eastAsia="黑体" w:cs="黑体"/>
          <w:color w:val="auto"/>
          <w:sz w:val="32"/>
          <w:szCs w:val="32"/>
        </w:rPr>
        <w:t>附件1：</w:t>
      </w:r>
    </w:p>
    <w:p>
      <w:pPr>
        <w:spacing w:line="600" w:lineRule="exact"/>
        <w:ind w:firstLine="640" w:firstLineChars="200"/>
        <w:jc w:val="center"/>
        <w:rPr>
          <w:rFonts w:hint="eastAsia" w:ascii="黑体" w:hAnsi="黑体" w:eastAsia="黑体"/>
          <w:color w:val="auto"/>
          <w:lang w:eastAsia="zh-CN"/>
        </w:rPr>
      </w:pPr>
      <w:r>
        <w:rPr>
          <w:rFonts w:hint="eastAsia" w:ascii="黑体" w:hAnsi="黑体" w:eastAsia="黑体" w:cs="黑体"/>
          <w:color w:val="auto"/>
          <w:sz w:val="32"/>
        </w:rPr>
        <w:t>杭州市富阳区未来社区</w:t>
      </w:r>
      <w:r>
        <w:rPr>
          <w:rFonts w:hint="eastAsia" w:ascii="黑体" w:hAnsi="黑体" w:eastAsia="黑体" w:cs="黑体"/>
          <w:color w:val="auto"/>
          <w:sz w:val="32"/>
          <w:lang w:eastAsia="zh-CN"/>
        </w:rPr>
        <w:t>年度轮动</w:t>
      </w:r>
      <w:r>
        <w:rPr>
          <w:rFonts w:hint="eastAsia" w:ascii="黑体" w:hAnsi="黑体" w:eastAsia="黑体" w:cs="黑体"/>
          <w:color w:val="auto"/>
          <w:sz w:val="32"/>
        </w:rPr>
        <w:t>项目库</w:t>
      </w:r>
      <w:r>
        <w:rPr>
          <w:rFonts w:hint="eastAsia" w:ascii="黑体" w:hAnsi="黑体" w:eastAsia="黑体" w:cs="黑体"/>
          <w:color w:val="auto"/>
          <w:sz w:val="32"/>
          <w:lang w:eastAsia="zh-CN"/>
        </w:rPr>
        <w:t>（征求意见稿）</w:t>
      </w:r>
    </w:p>
    <w:tbl>
      <w:tblPr>
        <w:tblStyle w:val="9"/>
        <w:tblpPr w:leftFromText="180" w:rightFromText="180" w:vertAnchor="text" w:horzAnchor="page" w:tblpX="2232" w:tblpY="389"/>
        <w:tblOverlap w:val="never"/>
        <w:tblW w:w="782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2"/>
        <w:gridCol w:w="1935"/>
        <w:gridCol w:w="1902"/>
        <w:gridCol w:w="1683"/>
        <w:gridCol w:w="157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5" w:hRule="atLeast"/>
          <w:tblHeader/>
        </w:trPr>
        <w:tc>
          <w:tcPr>
            <w:tcW w:w="732" w:type="dxa"/>
            <w:vMerge w:val="restart"/>
            <w:tcBorders>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序号</w:t>
            </w:r>
          </w:p>
        </w:tc>
        <w:tc>
          <w:tcPr>
            <w:tcW w:w="1935" w:type="dxa"/>
            <w:vMerge w:val="restart"/>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社区（村）名称</w:t>
            </w:r>
          </w:p>
        </w:tc>
        <w:tc>
          <w:tcPr>
            <w:tcW w:w="1902" w:type="dxa"/>
            <w:vMerge w:val="restart"/>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责任单位</w:t>
            </w:r>
          </w:p>
        </w:tc>
        <w:tc>
          <w:tcPr>
            <w:tcW w:w="1683" w:type="dxa"/>
            <w:vMerge w:val="restart"/>
            <w:tcBorders>
              <w:left w:val="nil"/>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lang w:eastAsia="zh-CN"/>
              </w:rPr>
              <w:t>启动时间</w:t>
            </w:r>
          </w:p>
        </w:tc>
        <w:tc>
          <w:tcPr>
            <w:tcW w:w="1576" w:type="dxa"/>
            <w:vMerge w:val="restart"/>
            <w:tcBorders>
              <w:left w:val="nil"/>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lang w:eastAsia="zh-CN"/>
              </w:rPr>
              <w:t>完成时间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80" w:hRule="atLeast"/>
          <w:tblHeader/>
        </w:trPr>
        <w:tc>
          <w:tcPr>
            <w:tcW w:w="732"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color w:val="auto"/>
                <w:kern w:val="0"/>
                <w:sz w:val="20"/>
                <w:szCs w:val="20"/>
              </w:rPr>
            </w:pPr>
          </w:p>
        </w:tc>
        <w:tc>
          <w:tcPr>
            <w:tcW w:w="19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color w:val="auto"/>
                <w:kern w:val="0"/>
                <w:sz w:val="20"/>
                <w:szCs w:val="20"/>
              </w:rPr>
            </w:pPr>
          </w:p>
        </w:tc>
        <w:tc>
          <w:tcPr>
            <w:tcW w:w="1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bCs/>
                <w:color w:val="auto"/>
                <w:kern w:val="0"/>
                <w:sz w:val="20"/>
                <w:szCs w:val="20"/>
              </w:rPr>
            </w:pPr>
          </w:p>
        </w:tc>
        <w:tc>
          <w:tcPr>
            <w:tcW w:w="1683"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lang w:eastAsia="zh-CN"/>
              </w:rPr>
            </w:pPr>
          </w:p>
        </w:tc>
        <w:tc>
          <w:tcPr>
            <w:tcW w:w="1576"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bCs/>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2" w:hRule="atLeas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山水社区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鹿山街道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2022年5月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江滨社区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富春街道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2021年8月</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9"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逸城社区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东洲街道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2021年9月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9"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935"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百合社区</w:t>
            </w:r>
          </w:p>
        </w:tc>
        <w:tc>
          <w:tcPr>
            <w:tcW w:w="1902"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富春街道</w:t>
            </w:r>
          </w:p>
        </w:tc>
        <w:tc>
          <w:tcPr>
            <w:tcW w:w="1683"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2021年9月</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32" w:hRule="atLeas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蒋家桥社区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富春街道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2021年10月</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18" w:hRule="atLeas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阳陂湖社区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富春街道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2021年10月</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2022年6月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0" w:hRule="atLeast"/>
        </w:trPr>
        <w:tc>
          <w:tcPr>
            <w:tcW w:w="732" w:type="dxa"/>
            <w:tcBorders>
              <w:top w:val="nil"/>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7</w:t>
            </w:r>
          </w:p>
        </w:tc>
        <w:tc>
          <w:tcPr>
            <w:tcW w:w="193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硅谷社区</w:t>
            </w:r>
          </w:p>
        </w:tc>
        <w:tc>
          <w:tcPr>
            <w:tcW w:w="1902"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银湖街道</w:t>
            </w:r>
          </w:p>
        </w:tc>
        <w:tc>
          <w:tcPr>
            <w:tcW w:w="1683"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2021年</w:t>
            </w:r>
            <w:r>
              <w:rPr>
                <w:rFonts w:ascii="宋体" w:hAnsi="宋体" w:eastAsia="宋体" w:cs="宋体"/>
                <w:color w:val="auto"/>
                <w:kern w:val="0"/>
                <w:sz w:val="20"/>
                <w:szCs w:val="20"/>
              </w:rPr>
              <w:t>12</w:t>
            </w:r>
            <w:r>
              <w:rPr>
                <w:rFonts w:hint="eastAsia" w:ascii="宋体" w:hAnsi="宋体" w:eastAsia="宋体" w:cs="宋体"/>
                <w:color w:val="auto"/>
                <w:kern w:val="0"/>
                <w:sz w:val="20"/>
                <w:szCs w:val="20"/>
              </w:rPr>
              <w:t>月</w:t>
            </w:r>
          </w:p>
        </w:tc>
        <w:tc>
          <w:tcPr>
            <w:tcW w:w="157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2022年</w:t>
            </w:r>
            <w:r>
              <w:rPr>
                <w:rFonts w:hint="eastAsia" w:ascii="宋体" w:hAnsi="宋体" w:eastAsia="宋体" w:cs="宋体"/>
                <w:color w:val="auto"/>
                <w:kern w:val="0"/>
                <w:sz w:val="20"/>
                <w:szCs w:val="20"/>
                <w:lang w:val="en-US" w:eastAsia="zh-CN"/>
              </w:rPr>
              <w:t>12</w:t>
            </w:r>
            <w:r>
              <w:rPr>
                <w:rFonts w:hint="eastAsia" w:ascii="宋体" w:hAnsi="宋体" w:eastAsia="宋体" w:cs="宋体"/>
                <w:color w:val="auto"/>
                <w:kern w:val="0"/>
                <w:sz w:val="20"/>
                <w:szCs w:val="20"/>
              </w:rPr>
              <w:t>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8</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东吴社区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鹿山街道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2021年</w:t>
            </w:r>
            <w:r>
              <w:rPr>
                <w:rFonts w:ascii="宋体" w:hAnsi="宋体" w:eastAsia="宋体" w:cs="宋体"/>
                <w:color w:val="auto"/>
                <w:kern w:val="0"/>
                <w:sz w:val="20"/>
                <w:szCs w:val="20"/>
              </w:rPr>
              <w:t>12</w:t>
            </w:r>
            <w:r>
              <w:rPr>
                <w:rFonts w:hint="eastAsia" w:ascii="宋体" w:hAnsi="宋体" w:eastAsia="宋体" w:cs="宋体"/>
                <w:color w:val="auto"/>
                <w:kern w:val="0"/>
                <w:sz w:val="20"/>
                <w:szCs w:val="20"/>
              </w:rPr>
              <w:t>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2022年</w:t>
            </w:r>
            <w:r>
              <w:rPr>
                <w:rFonts w:hint="eastAsia" w:ascii="宋体" w:hAnsi="宋体" w:eastAsia="宋体" w:cs="宋体"/>
                <w:color w:val="auto"/>
                <w:kern w:val="0"/>
                <w:sz w:val="20"/>
                <w:szCs w:val="20"/>
                <w:lang w:val="en-US" w:eastAsia="zh-CN"/>
              </w:rPr>
              <w:t>12</w:t>
            </w:r>
            <w:r>
              <w:rPr>
                <w:rFonts w:hint="eastAsia" w:ascii="宋体" w:hAnsi="宋体" w:eastAsia="宋体" w:cs="宋体"/>
                <w:color w:val="auto"/>
                <w:kern w:val="0"/>
                <w:sz w:val="20"/>
                <w:szCs w:val="20"/>
              </w:rPr>
              <w:t>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新民社区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富春街道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2021年12月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2022年</w:t>
            </w:r>
            <w:r>
              <w:rPr>
                <w:rFonts w:hint="eastAsia" w:ascii="宋体" w:hAnsi="宋体" w:eastAsia="宋体" w:cs="宋体"/>
                <w:color w:val="auto"/>
                <w:kern w:val="0"/>
                <w:sz w:val="20"/>
                <w:szCs w:val="20"/>
                <w:lang w:val="en-US" w:eastAsia="zh-CN"/>
              </w:rPr>
              <w:t>12</w:t>
            </w:r>
            <w:r>
              <w:rPr>
                <w:rFonts w:hint="eastAsia" w:ascii="宋体" w:hAnsi="宋体" w:eastAsia="宋体" w:cs="宋体"/>
                <w:color w:val="auto"/>
                <w:kern w:val="0"/>
                <w:sz w:val="20"/>
                <w:szCs w:val="20"/>
              </w:rPr>
              <w:t>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金家桥社区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富春街道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2021年12月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2022年</w:t>
            </w:r>
            <w:r>
              <w:rPr>
                <w:rFonts w:hint="eastAsia" w:ascii="宋体" w:hAnsi="宋体" w:eastAsia="宋体" w:cs="宋体"/>
                <w:color w:val="auto"/>
                <w:kern w:val="0"/>
                <w:sz w:val="20"/>
                <w:szCs w:val="20"/>
                <w:lang w:val="en-US" w:eastAsia="zh-CN"/>
              </w:rPr>
              <w:t>12</w:t>
            </w:r>
            <w:r>
              <w:rPr>
                <w:rFonts w:hint="eastAsia" w:ascii="宋体" w:hAnsi="宋体" w:eastAsia="宋体" w:cs="宋体"/>
                <w:color w:val="auto"/>
                <w:kern w:val="0"/>
                <w:sz w:val="20"/>
                <w:szCs w:val="20"/>
              </w:rPr>
              <w:t>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登云社区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新登镇</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202</w:t>
            </w: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年</w:t>
            </w:r>
            <w:r>
              <w:rPr>
                <w:rFonts w:hint="eastAsia" w:ascii="宋体" w:hAnsi="宋体" w:eastAsia="宋体" w:cs="宋体"/>
                <w:color w:val="auto"/>
                <w:kern w:val="0"/>
                <w:sz w:val="20"/>
                <w:szCs w:val="20"/>
                <w:lang w:val="en-US" w:eastAsia="zh-CN"/>
              </w:rPr>
              <w:t>4</w:t>
            </w:r>
            <w:r>
              <w:rPr>
                <w:rFonts w:hint="eastAsia" w:ascii="宋体" w:hAnsi="宋体" w:eastAsia="宋体" w:cs="宋体"/>
                <w:color w:val="auto"/>
                <w:kern w:val="0"/>
                <w:sz w:val="20"/>
                <w:szCs w:val="20"/>
              </w:rPr>
              <w:t>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202</w:t>
            </w: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年</w:t>
            </w:r>
            <w:r>
              <w:rPr>
                <w:rFonts w:hint="eastAsia" w:ascii="宋体" w:hAnsi="宋体" w:eastAsia="宋体" w:cs="宋体"/>
                <w:color w:val="auto"/>
                <w:kern w:val="0"/>
                <w:sz w:val="20"/>
                <w:szCs w:val="20"/>
                <w:lang w:val="en-US" w:eastAsia="zh-CN"/>
              </w:rPr>
              <w:t>4</w:t>
            </w:r>
            <w:r>
              <w:rPr>
                <w:rFonts w:hint="eastAsia" w:ascii="宋体" w:hAnsi="宋体" w:eastAsia="宋体" w:cs="宋体"/>
                <w:color w:val="auto"/>
                <w:kern w:val="0"/>
                <w:sz w:val="20"/>
                <w:szCs w:val="20"/>
              </w:rPr>
              <w:t>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龙潭社区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场口镇</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202</w:t>
            </w: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年</w:t>
            </w:r>
            <w:r>
              <w:rPr>
                <w:rFonts w:hint="eastAsia" w:ascii="宋体" w:hAnsi="宋体" w:eastAsia="宋体" w:cs="宋体"/>
                <w:color w:val="auto"/>
                <w:kern w:val="0"/>
                <w:sz w:val="20"/>
                <w:szCs w:val="20"/>
                <w:lang w:val="en-US" w:eastAsia="zh-CN"/>
              </w:rPr>
              <w:t>4</w:t>
            </w:r>
            <w:r>
              <w:rPr>
                <w:rFonts w:hint="eastAsia" w:ascii="宋体" w:hAnsi="宋体" w:eastAsia="宋体" w:cs="宋体"/>
                <w:color w:val="auto"/>
                <w:kern w:val="0"/>
                <w:sz w:val="20"/>
                <w:szCs w:val="20"/>
              </w:rPr>
              <w:t>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202</w:t>
            </w: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年</w:t>
            </w:r>
            <w:r>
              <w:rPr>
                <w:rFonts w:hint="eastAsia" w:ascii="宋体" w:hAnsi="宋体" w:eastAsia="宋体" w:cs="宋体"/>
                <w:color w:val="auto"/>
                <w:kern w:val="0"/>
                <w:sz w:val="20"/>
                <w:szCs w:val="20"/>
                <w:lang w:val="en-US" w:eastAsia="zh-CN"/>
              </w:rPr>
              <w:t>4</w:t>
            </w:r>
            <w:r>
              <w:rPr>
                <w:rFonts w:hint="eastAsia" w:ascii="宋体" w:hAnsi="宋体" w:eastAsia="宋体" w:cs="宋体"/>
                <w:color w:val="auto"/>
                <w:kern w:val="0"/>
                <w:sz w:val="20"/>
                <w:szCs w:val="20"/>
              </w:rPr>
              <w:t>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w:t>
            </w:r>
            <w:r>
              <w:rPr>
                <w:rFonts w:hint="eastAsia" w:ascii="宋体" w:hAnsi="宋体" w:eastAsia="宋体" w:cs="宋体"/>
                <w:color w:val="auto"/>
                <w:kern w:val="0"/>
                <w:sz w:val="20"/>
                <w:szCs w:val="20"/>
                <w:lang w:val="en-US" w:eastAsia="zh-CN"/>
              </w:rPr>
              <w:t>3</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杭黄社区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富春湾新城管委会</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2023年12月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14</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春雨社区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春江街道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2022年12月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2023年12月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8" w:hRule="atLeast"/>
        </w:trPr>
        <w:tc>
          <w:tcPr>
            <w:tcW w:w="732" w:type="dxa"/>
            <w:tcBorders>
              <w:top w:val="single" w:color="auto" w:sz="4" w:space="0"/>
              <w:bottom w:val="single" w:color="auto" w:sz="4" w:space="0"/>
              <w:right w:val="single" w:color="auto" w:sz="4" w:space="0"/>
            </w:tcBorders>
            <w:shd w:val="clear" w:color="auto" w:fill="auto"/>
            <w:vAlign w:val="center"/>
          </w:tcPr>
          <w:p>
            <w:pPr>
              <w:widowControl/>
              <w:spacing w:line="480" w:lineRule="auto"/>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1</w:t>
            </w:r>
            <w:r>
              <w:rPr>
                <w:rFonts w:hint="eastAsia" w:ascii="宋体" w:hAnsi="宋体" w:eastAsia="宋体" w:cs="宋体"/>
                <w:color w:val="auto"/>
                <w:kern w:val="0"/>
                <w:sz w:val="20"/>
                <w:szCs w:val="20"/>
                <w:lang w:val="en-US" w:eastAsia="zh-CN"/>
              </w:rPr>
              <w:t>5</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鹳山社区</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富春街道</w:t>
            </w:r>
          </w:p>
        </w:tc>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w:t>
            </w:r>
            <w:r>
              <w:rPr>
                <w:rFonts w:ascii="宋体" w:hAnsi="宋体" w:eastAsia="宋体" w:cs="宋体"/>
                <w:color w:val="auto"/>
                <w:kern w:val="0"/>
                <w:sz w:val="20"/>
                <w:szCs w:val="20"/>
              </w:rPr>
              <w:t>2</w:t>
            </w:r>
            <w:r>
              <w:rPr>
                <w:rFonts w:hint="eastAsia" w:ascii="宋体" w:hAnsi="宋体" w:eastAsia="宋体" w:cs="宋体"/>
                <w:color w:val="auto"/>
                <w:kern w:val="0"/>
                <w:sz w:val="20"/>
                <w:szCs w:val="20"/>
              </w:rPr>
              <w:t>年1</w:t>
            </w: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月</w:t>
            </w: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2023年12月</w:t>
            </w:r>
          </w:p>
        </w:tc>
      </w:tr>
    </w:tbl>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br w:type="page"/>
      </w:r>
    </w:p>
    <w:p>
      <w:pPr>
        <w:rPr>
          <w:rFonts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rPr>
        <w:t>：</w:t>
      </w:r>
    </w:p>
    <w:p>
      <w:pPr>
        <w:spacing w:before="0" w:line="737" w:lineRule="exact"/>
        <w:ind w:right="1471"/>
        <w:jc w:val="center"/>
        <w:rPr>
          <w:rFonts w:hint="eastAsia" w:ascii="方正小标宋简体" w:eastAsia="方正小标宋简体"/>
          <w:color w:val="auto"/>
          <w:sz w:val="44"/>
        </w:rPr>
      </w:pPr>
      <w:r>
        <w:rPr>
          <w:rFonts w:hint="eastAsia" w:ascii="方正小标宋简体" w:eastAsia="方正小标宋简体"/>
          <w:color w:val="auto"/>
          <w:sz w:val="44"/>
          <w:lang w:val="en-US" w:eastAsia="zh-CN"/>
        </w:rPr>
        <w:t xml:space="preserve">     </w:t>
      </w:r>
      <w:r>
        <w:rPr>
          <w:rFonts w:hint="eastAsia" w:ascii="方正小标宋简体" w:eastAsia="方正小标宋简体"/>
          <w:color w:val="auto"/>
          <w:sz w:val="44"/>
        </w:rPr>
        <w:t>未来社区创建项目评审标准</w:t>
      </w:r>
    </w:p>
    <w:p>
      <w:pPr>
        <w:pStyle w:val="5"/>
        <w:rPr>
          <w:rFonts w:hint="eastAsia" w:ascii="黑体" w:eastAsia="黑体"/>
          <w:color w:val="auto"/>
        </w:rPr>
      </w:pPr>
      <w:r>
        <w:rPr>
          <w:rFonts w:hint="eastAsia" w:ascii="黑体" w:eastAsia="黑体"/>
          <w:color w:val="auto"/>
        </w:rPr>
        <w:t>一、申报类型适合性审查</w:t>
      </w:r>
    </w:p>
    <w:p>
      <w:pPr>
        <w:pStyle w:val="5"/>
        <w:spacing w:before="149"/>
        <w:rPr>
          <w:rFonts w:hint="eastAsia" w:ascii="楷体" w:eastAsia="楷体"/>
          <w:color w:val="auto"/>
        </w:rPr>
      </w:pPr>
      <w:r>
        <w:rPr>
          <w:rFonts w:hint="eastAsia" w:ascii="楷体" w:eastAsia="楷体"/>
          <w:color w:val="auto"/>
        </w:rPr>
        <w:t>（一）共性审查原则</w:t>
      </w:r>
    </w:p>
    <w:p>
      <w:pPr>
        <w:pStyle w:val="5"/>
        <w:spacing w:before="150" w:line="328" w:lineRule="auto"/>
        <w:ind w:right="406" w:firstLine="608" w:firstLineChars="200"/>
        <w:rPr>
          <w:color w:val="auto"/>
        </w:rPr>
      </w:pPr>
      <w:r>
        <w:rPr>
          <w:color w:val="auto"/>
          <w:w w:val="95"/>
        </w:rPr>
        <w:t xml:space="preserve">1、创建项目实施单元内无别墅、排屋、洋房等高档住 </w:t>
      </w:r>
      <w:r>
        <w:rPr>
          <w:color w:val="auto"/>
        </w:rPr>
        <w:t>宅，确保避免贵族化倾向。</w:t>
      </w:r>
    </w:p>
    <w:p>
      <w:pPr>
        <w:pStyle w:val="5"/>
        <w:spacing w:line="328" w:lineRule="auto"/>
        <w:ind w:right="213" w:firstLine="640" w:firstLineChars="200"/>
        <w:rPr>
          <w:color w:val="auto"/>
        </w:rPr>
      </w:pPr>
      <w:r>
        <w:rPr>
          <w:color w:val="auto"/>
        </w:rPr>
        <w:t>2、创建项目实施单元应避免跨越铁路，或国省道、城市快速路、城市主干道等高等级道路（设有绿化隔离带交通性干道），或宽度较大的河流等分割屏障，难以实现区块间联通的项目不宜申报。</w:t>
      </w:r>
    </w:p>
    <w:p>
      <w:pPr>
        <w:pStyle w:val="5"/>
        <w:spacing w:line="328" w:lineRule="auto"/>
        <w:ind w:right="325" w:firstLine="640" w:firstLineChars="200"/>
        <w:rPr>
          <w:color w:val="auto"/>
        </w:rPr>
      </w:pPr>
      <w:r>
        <w:rPr>
          <w:color w:val="auto"/>
        </w:rPr>
        <w:t xml:space="preserve">3、创建项目应合理划定规划单元和实施单元范围，确保场景设施配置完整性，其中规划单元应满足 </w:t>
      </w:r>
      <w:r>
        <w:rPr>
          <w:rFonts w:ascii="Times New Roman" w:eastAsia="Times New Roman"/>
          <w:color w:val="auto"/>
        </w:rPr>
        <w:t xml:space="preserve">15 </w:t>
      </w:r>
      <w:r>
        <w:rPr>
          <w:color w:val="auto"/>
        </w:rPr>
        <w:t xml:space="preserve">分钟生活圈需求，实施单元应满足 </w:t>
      </w:r>
      <w:r>
        <w:rPr>
          <w:rFonts w:ascii="Times New Roman" w:eastAsia="Times New Roman"/>
          <w:color w:val="auto"/>
        </w:rPr>
        <w:t xml:space="preserve">5-10 </w:t>
      </w:r>
      <w:r>
        <w:rPr>
          <w:color w:val="auto"/>
        </w:rPr>
        <w:t>分钟生活圈需求。</w:t>
      </w:r>
    </w:p>
    <w:p>
      <w:pPr>
        <w:pStyle w:val="5"/>
        <w:spacing w:before="139" w:line="328" w:lineRule="auto"/>
        <w:ind w:right="99" w:firstLine="608" w:firstLineChars="200"/>
        <w:rPr>
          <w:color w:val="auto"/>
        </w:rPr>
      </w:pPr>
      <w:r>
        <w:rPr>
          <w:color w:val="auto"/>
          <w:w w:val="95"/>
        </w:rPr>
        <w:t>4</w:t>
      </w:r>
      <w:r>
        <w:rPr>
          <w:color w:val="auto"/>
          <w:spacing w:val="-3"/>
          <w:w w:val="95"/>
        </w:rPr>
        <w:t xml:space="preserve">、创建项目范围应避免跨越不同的社区行政管辖范围， </w:t>
      </w:r>
      <w:r>
        <w:rPr>
          <w:color w:val="auto"/>
          <w:spacing w:val="-3"/>
        </w:rPr>
        <w:t>由单一社区组织统一管理，或可通过调整实现统一管理。</w:t>
      </w:r>
    </w:p>
    <w:p>
      <w:pPr>
        <w:pStyle w:val="5"/>
        <w:spacing w:before="139" w:line="328" w:lineRule="auto"/>
        <w:ind w:right="99" w:firstLine="640" w:firstLineChars="200"/>
        <w:rPr>
          <w:color w:val="auto"/>
        </w:rPr>
      </w:pPr>
      <w:r>
        <w:rPr>
          <w:color w:val="auto"/>
        </w:rPr>
        <w:t>5、创建项目实施单元的选择，应对规划单元、周边区域及更大范围城市改造更新具有示范带动作用。具有文化底蕴、特色基础、容易形成</w:t>
      </w:r>
      <w:r>
        <w:rPr>
          <w:color w:val="auto"/>
          <w:spacing w:val="-3"/>
        </w:rPr>
        <w:t>亮点</w:t>
      </w:r>
      <w:r>
        <w:rPr>
          <w:color w:val="auto"/>
        </w:rPr>
        <w:t>及示范效应的区块优先考虑。</w:t>
      </w:r>
    </w:p>
    <w:p>
      <w:pPr>
        <w:pStyle w:val="5"/>
        <w:spacing w:line="405" w:lineRule="exact"/>
        <w:ind w:left="0" w:leftChars="0" w:firstLine="640" w:firstLineChars="200"/>
        <w:rPr>
          <w:rFonts w:hint="eastAsia" w:ascii="楷体" w:eastAsia="楷体"/>
          <w:color w:val="auto"/>
        </w:rPr>
      </w:pPr>
      <w:r>
        <w:rPr>
          <w:rFonts w:hint="eastAsia" w:ascii="楷体" w:eastAsia="楷体"/>
          <w:color w:val="auto"/>
        </w:rPr>
        <w:t>（二）分类型审查原则</w:t>
      </w:r>
    </w:p>
    <w:p>
      <w:pPr>
        <w:pStyle w:val="4"/>
        <w:spacing w:before="146"/>
        <w:ind w:left="0" w:leftChars="0" w:firstLine="643" w:firstLineChars="200"/>
        <w:rPr>
          <w:color w:val="auto"/>
        </w:rPr>
      </w:pPr>
      <w:r>
        <w:rPr>
          <w:color w:val="auto"/>
        </w:rPr>
        <w:t>1、旧改类</w:t>
      </w:r>
    </w:p>
    <w:p>
      <w:pPr>
        <w:pStyle w:val="11"/>
        <w:numPr>
          <w:ilvl w:val="0"/>
          <w:numId w:val="16"/>
        </w:numPr>
        <w:tabs>
          <w:tab w:val="left" w:pos="1561"/>
        </w:tabs>
        <w:spacing w:before="152" w:after="0" w:line="326" w:lineRule="auto"/>
        <w:ind w:left="120" w:right="404" w:firstLine="628" w:firstLineChars="200"/>
        <w:jc w:val="left"/>
        <w:rPr>
          <w:rFonts w:ascii="仿宋" w:hAnsi="仿宋" w:eastAsia="仿宋" w:cs="仿宋"/>
          <w:color w:val="auto"/>
          <w:spacing w:val="-3"/>
          <w:kern w:val="2"/>
          <w:sz w:val="32"/>
          <w:szCs w:val="32"/>
          <w:lang w:val="zh-CN" w:eastAsia="zh-CN" w:bidi="zh-CN"/>
        </w:rPr>
      </w:pPr>
      <w:r>
        <w:rPr>
          <w:rFonts w:ascii="仿宋" w:hAnsi="仿宋" w:eastAsia="仿宋" w:cs="仿宋"/>
          <w:color w:val="auto"/>
          <w:spacing w:val="-3"/>
          <w:kern w:val="2"/>
          <w:sz w:val="32"/>
          <w:szCs w:val="32"/>
          <w:lang w:val="zh-CN" w:eastAsia="zh-CN" w:bidi="zh-CN"/>
        </w:rPr>
        <w:t>若涉及多孔预制板建材等老旧小区的，须出具有关部门房屋安全质量鉴定证明及专业评估报告。</w:t>
      </w:r>
    </w:p>
    <w:p>
      <w:pPr>
        <w:pStyle w:val="11"/>
        <w:numPr>
          <w:ilvl w:val="0"/>
          <w:numId w:val="16"/>
        </w:numPr>
        <w:tabs>
          <w:tab w:val="left" w:pos="1561"/>
        </w:tabs>
        <w:spacing w:before="152" w:after="0" w:line="326" w:lineRule="auto"/>
        <w:ind w:left="120" w:right="404" w:firstLine="628" w:firstLineChars="200"/>
        <w:jc w:val="left"/>
        <w:rPr>
          <w:rFonts w:ascii="仿宋" w:hAnsi="仿宋" w:eastAsia="仿宋" w:cs="仿宋"/>
          <w:color w:val="auto"/>
          <w:spacing w:val="-3"/>
          <w:kern w:val="2"/>
          <w:sz w:val="32"/>
          <w:szCs w:val="32"/>
          <w:lang w:val="zh-CN" w:eastAsia="zh-CN" w:bidi="zh-CN"/>
        </w:rPr>
      </w:pPr>
      <w:r>
        <w:rPr>
          <w:rFonts w:ascii="仿宋" w:hAnsi="仿宋" w:eastAsia="仿宋" w:cs="仿宋"/>
          <w:color w:val="auto"/>
          <w:spacing w:val="-3"/>
          <w:kern w:val="2"/>
          <w:sz w:val="32"/>
          <w:szCs w:val="32"/>
          <w:lang w:val="zh-CN" w:eastAsia="zh-CN" w:bidi="zh-CN"/>
        </w:rPr>
        <w:t>原则上居民入住率应不小于 50%，避免新建商品楼盘借申报未来社区名义</w:t>
      </w:r>
      <w:r>
        <w:rPr>
          <w:rFonts w:hint="eastAsia" w:ascii="仿宋" w:hAnsi="仿宋" w:eastAsia="仿宋" w:cs="仿宋"/>
          <w:color w:val="auto"/>
          <w:spacing w:val="-3"/>
          <w:kern w:val="2"/>
          <w:sz w:val="32"/>
          <w:szCs w:val="32"/>
          <w:lang w:val="zh-CN" w:eastAsia="zh-CN" w:bidi="zh-CN"/>
        </w:rPr>
        <w:t>“</w:t>
      </w:r>
      <w:r>
        <w:rPr>
          <w:rFonts w:ascii="仿宋" w:hAnsi="仿宋" w:eastAsia="仿宋" w:cs="仿宋"/>
          <w:color w:val="auto"/>
          <w:spacing w:val="-3"/>
          <w:kern w:val="2"/>
          <w:sz w:val="32"/>
          <w:szCs w:val="32"/>
          <w:lang w:val="zh-CN" w:eastAsia="zh-CN" w:bidi="zh-CN"/>
        </w:rPr>
        <w:t>炒房</w:t>
      </w:r>
      <w:r>
        <w:rPr>
          <w:rFonts w:hint="eastAsia" w:ascii="仿宋" w:hAnsi="仿宋" w:eastAsia="仿宋" w:cs="仿宋"/>
          <w:color w:val="auto"/>
          <w:spacing w:val="-3"/>
          <w:kern w:val="2"/>
          <w:sz w:val="32"/>
          <w:szCs w:val="32"/>
          <w:lang w:val="zh-CN" w:eastAsia="zh-CN" w:bidi="zh-CN"/>
        </w:rPr>
        <w:t>”</w:t>
      </w:r>
      <w:r>
        <w:rPr>
          <w:rFonts w:ascii="仿宋" w:hAnsi="仿宋" w:eastAsia="仿宋" w:cs="仿宋"/>
          <w:color w:val="auto"/>
          <w:spacing w:val="-3"/>
          <w:kern w:val="2"/>
          <w:sz w:val="32"/>
          <w:szCs w:val="32"/>
          <w:lang w:val="zh-CN" w:eastAsia="zh-CN" w:bidi="zh-CN"/>
        </w:rPr>
        <w:t>，严防</w:t>
      </w:r>
      <w:r>
        <w:rPr>
          <w:rFonts w:hint="eastAsia" w:ascii="仿宋" w:hAnsi="仿宋" w:eastAsia="仿宋" w:cs="仿宋"/>
          <w:color w:val="auto"/>
          <w:spacing w:val="-3"/>
          <w:kern w:val="2"/>
          <w:sz w:val="32"/>
          <w:szCs w:val="32"/>
          <w:lang w:val="zh-CN" w:eastAsia="zh-CN" w:bidi="zh-CN"/>
        </w:rPr>
        <w:t>“</w:t>
      </w:r>
      <w:r>
        <w:rPr>
          <w:rFonts w:ascii="仿宋" w:hAnsi="仿宋" w:eastAsia="仿宋" w:cs="仿宋"/>
          <w:color w:val="auto"/>
          <w:spacing w:val="-3"/>
          <w:kern w:val="2"/>
          <w:sz w:val="32"/>
          <w:szCs w:val="32"/>
          <w:lang w:val="zh-CN" w:eastAsia="zh-CN" w:bidi="zh-CN"/>
        </w:rPr>
        <w:t>房地产化</w:t>
      </w:r>
      <w:r>
        <w:rPr>
          <w:rFonts w:hint="eastAsia" w:ascii="仿宋" w:hAnsi="仿宋" w:eastAsia="仿宋" w:cs="仿宋"/>
          <w:color w:val="auto"/>
          <w:spacing w:val="-3"/>
          <w:kern w:val="2"/>
          <w:sz w:val="32"/>
          <w:szCs w:val="32"/>
          <w:lang w:val="zh-CN" w:eastAsia="zh-CN" w:bidi="zh-CN"/>
        </w:rPr>
        <w:t>”</w:t>
      </w:r>
      <w:r>
        <w:rPr>
          <w:rFonts w:ascii="仿宋" w:hAnsi="仿宋" w:eastAsia="仿宋" w:cs="仿宋"/>
          <w:color w:val="auto"/>
          <w:spacing w:val="-3"/>
          <w:kern w:val="2"/>
          <w:sz w:val="32"/>
          <w:szCs w:val="32"/>
          <w:lang w:val="zh-CN" w:eastAsia="zh-CN" w:bidi="zh-CN"/>
        </w:rPr>
        <w:t>倾向。</w:t>
      </w:r>
    </w:p>
    <w:p>
      <w:pPr>
        <w:pStyle w:val="11"/>
        <w:numPr>
          <w:ilvl w:val="0"/>
          <w:numId w:val="16"/>
        </w:numPr>
        <w:tabs>
          <w:tab w:val="left" w:pos="1561"/>
        </w:tabs>
        <w:spacing w:before="152" w:after="0" w:line="326" w:lineRule="auto"/>
        <w:ind w:left="120" w:right="404" w:firstLine="628" w:firstLineChars="200"/>
        <w:jc w:val="left"/>
        <w:rPr>
          <w:rFonts w:ascii="仿宋" w:hAnsi="仿宋" w:eastAsia="仿宋" w:cs="仿宋"/>
          <w:color w:val="auto"/>
          <w:spacing w:val="-3"/>
          <w:kern w:val="2"/>
          <w:sz w:val="32"/>
          <w:szCs w:val="32"/>
          <w:lang w:val="zh-CN" w:eastAsia="zh-CN" w:bidi="zh-CN"/>
        </w:rPr>
      </w:pPr>
      <w:r>
        <w:rPr>
          <w:rFonts w:ascii="仿宋" w:hAnsi="仿宋" w:eastAsia="仿宋" w:cs="仿宋"/>
          <w:color w:val="auto"/>
          <w:spacing w:val="-3"/>
          <w:kern w:val="2"/>
          <w:sz w:val="32"/>
          <w:szCs w:val="32"/>
          <w:lang w:val="zh-CN" w:eastAsia="zh-CN" w:bidi="zh-CN"/>
        </w:rPr>
        <w:t>原则上应是人口集聚度高的存量社区，对于人口密度较低的社区可按 10 分钟生活圈范围划定实施单元。</w:t>
      </w:r>
    </w:p>
    <w:p>
      <w:pPr>
        <w:pStyle w:val="11"/>
        <w:numPr>
          <w:ilvl w:val="0"/>
          <w:numId w:val="16"/>
        </w:numPr>
        <w:tabs>
          <w:tab w:val="left" w:pos="1561"/>
        </w:tabs>
        <w:spacing w:before="152" w:after="0" w:line="326" w:lineRule="auto"/>
        <w:ind w:left="120" w:right="404" w:firstLine="628" w:firstLineChars="200"/>
        <w:jc w:val="left"/>
        <w:rPr>
          <w:rFonts w:ascii="仿宋" w:hAnsi="仿宋" w:eastAsia="仿宋" w:cs="仿宋"/>
          <w:color w:val="auto"/>
          <w:spacing w:val="-3"/>
          <w:kern w:val="2"/>
          <w:sz w:val="32"/>
          <w:szCs w:val="32"/>
          <w:lang w:val="zh-CN" w:eastAsia="zh-CN" w:bidi="zh-CN"/>
        </w:rPr>
      </w:pPr>
      <w:r>
        <w:rPr>
          <w:rFonts w:ascii="仿宋" w:hAnsi="仿宋" w:eastAsia="仿宋" w:cs="仿宋"/>
          <w:color w:val="auto"/>
          <w:spacing w:val="-3"/>
          <w:kern w:val="2"/>
          <w:sz w:val="32"/>
          <w:szCs w:val="32"/>
          <w:lang w:val="zh-CN" w:eastAsia="zh-CN" w:bidi="zh-CN"/>
        </w:rPr>
        <w:t>居民改造意愿较高，且愿意向全社区开放，共享资源。</w:t>
      </w:r>
    </w:p>
    <w:p>
      <w:pPr>
        <w:pStyle w:val="11"/>
        <w:numPr>
          <w:ilvl w:val="0"/>
          <w:numId w:val="16"/>
        </w:numPr>
        <w:tabs>
          <w:tab w:val="left" w:pos="1561"/>
        </w:tabs>
        <w:spacing w:before="152" w:after="0" w:line="326" w:lineRule="auto"/>
        <w:ind w:left="120" w:right="404" w:firstLine="628" w:firstLineChars="200"/>
        <w:jc w:val="left"/>
        <w:rPr>
          <w:rFonts w:ascii="仿宋" w:hAnsi="仿宋" w:eastAsia="仿宋" w:cs="仿宋"/>
          <w:color w:val="auto"/>
          <w:spacing w:val="-3"/>
          <w:kern w:val="2"/>
          <w:sz w:val="32"/>
          <w:szCs w:val="32"/>
          <w:lang w:val="zh-CN" w:eastAsia="zh-CN" w:bidi="zh-CN"/>
        </w:rPr>
      </w:pPr>
      <w:r>
        <w:rPr>
          <w:rFonts w:ascii="仿宋" w:hAnsi="仿宋" w:eastAsia="仿宋" w:cs="仿宋"/>
          <w:color w:val="auto"/>
          <w:spacing w:val="-3"/>
          <w:kern w:val="2"/>
          <w:sz w:val="32"/>
          <w:szCs w:val="32"/>
          <w:lang w:val="zh-CN" w:eastAsia="zh-CN" w:bidi="zh-CN"/>
        </w:rPr>
        <w:t>创建项目应充分考虑邻里中心等“线下”公共配套设施和开放空间的配置，因地制宜地保障“三化九场景”落地。</w:t>
      </w:r>
    </w:p>
    <w:p>
      <w:pPr>
        <w:pStyle w:val="11"/>
        <w:numPr>
          <w:ilvl w:val="0"/>
          <w:numId w:val="16"/>
        </w:numPr>
        <w:tabs>
          <w:tab w:val="left" w:pos="1561"/>
        </w:tabs>
        <w:spacing w:before="152" w:after="0" w:line="326" w:lineRule="auto"/>
        <w:ind w:left="120" w:right="404" w:firstLine="628" w:firstLineChars="200"/>
        <w:jc w:val="left"/>
        <w:rPr>
          <w:rFonts w:ascii="仿宋" w:hAnsi="仿宋" w:eastAsia="仿宋" w:cs="仿宋"/>
          <w:color w:val="auto"/>
          <w:spacing w:val="-3"/>
          <w:kern w:val="2"/>
          <w:sz w:val="32"/>
          <w:szCs w:val="32"/>
          <w:lang w:val="zh-CN" w:eastAsia="zh-CN" w:bidi="zh-CN"/>
        </w:rPr>
      </w:pPr>
      <w:r>
        <w:rPr>
          <w:rFonts w:ascii="仿宋" w:hAnsi="仿宋" w:eastAsia="仿宋" w:cs="仿宋"/>
          <w:color w:val="auto"/>
          <w:spacing w:val="-3"/>
          <w:kern w:val="2"/>
          <w:sz w:val="32"/>
          <w:szCs w:val="32"/>
          <w:lang w:val="zh-CN" w:eastAsia="zh-CN" w:bidi="zh-CN"/>
        </w:rPr>
        <w:t>除修缮、改造、功能置换以外，允许少量建筑拆除改造，拆除后应建设社区开放空间或公共设施，不得新建住宅。</w:t>
      </w:r>
    </w:p>
    <w:p>
      <w:pPr>
        <w:pStyle w:val="4"/>
        <w:spacing w:line="405" w:lineRule="exact"/>
        <w:ind w:left="0" w:leftChars="0" w:firstLine="643" w:firstLineChars="200"/>
        <w:rPr>
          <w:color w:val="auto"/>
        </w:rPr>
      </w:pPr>
      <w:r>
        <w:rPr>
          <w:color w:val="auto"/>
        </w:rPr>
        <w:t>2、新建类</w:t>
      </w:r>
    </w:p>
    <w:p>
      <w:pPr>
        <w:pStyle w:val="11"/>
        <w:numPr>
          <w:ilvl w:val="0"/>
          <w:numId w:val="16"/>
        </w:numPr>
        <w:tabs>
          <w:tab w:val="left" w:pos="1561"/>
        </w:tabs>
        <w:spacing w:before="152" w:after="0" w:line="326" w:lineRule="auto"/>
        <w:ind w:left="120" w:right="404" w:firstLine="628" w:firstLineChars="200"/>
        <w:jc w:val="left"/>
        <w:rPr>
          <w:rFonts w:ascii="仿宋" w:hAnsi="仿宋" w:eastAsia="仿宋" w:cs="仿宋"/>
          <w:color w:val="auto"/>
          <w:spacing w:val="-3"/>
          <w:kern w:val="2"/>
          <w:sz w:val="32"/>
          <w:szCs w:val="32"/>
          <w:lang w:val="zh-CN" w:eastAsia="zh-CN" w:bidi="zh-CN"/>
        </w:rPr>
      </w:pPr>
      <w:r>
        <w:rPr>
          <w:rFonts w:ascii="仿宋" w:hAnsi="仿宋" w:eastAsia="仿宋" w:cs="仿宋"/>
          <w:color w:val="auto"/>
          <w:spacing w:val="-3"/>
          <w:kern w:val="2"/>
          <w:sz w:val="32"/>
          <w:szCs w:val="32"/>
          <w:lang w:val="zh-CN" w:eastAsia="zh-CN" w:bidi="zh-CN"/>
        </w:rPr>
        <w:t>存在住宅拆迁部分的提倡实物安置，配置足量回迁住宅，优先满足原拆原回居民或毗邻安置居民需求。</w:t>
      </w:r>
    </w:p>
    <w:p>
      <w:pPr>
        <w:pStyle w:val="11"/>
        <w:numPr>
          <w:ilvl w:val="0"/>
          <w:numId w:val="16"/>
        </w:numPr>
        <w:tabs>
          <w:tab w:val="left" w:pos="1561"/>
        </w:tabs>
        <w:spacing w:before="152" w:after="0" w:line="326" w:lineRule="auto"/>
        <w:ind w:left="120" w:right="404" w:firstLine="628" w:firstLineChars="200"/>
        <w:jc w:val="left"/>
        <w:rPr>
          <w:rFonts w:ascii="仿宋" w:hAnsi="仿宋" w:eastAsia="仿宋" w:cs="仿宋"/>
          <w:color w:val="auto"/>
          <w:spacing w:val="-3"/>
          <w:kern w:val="2"/>
          <w:sz w:val="32"/>
          <w:szCs w:val="32"/>
          <w:lang w:val="zh-CN" w:eastAsia="zh-CN" w:bidi="zh-CN"/>
        </w:rPr>
      </w:pPr>
      <w:r>
        <w:rPr>
          <w:rFonts w:ascii="仿宋" w:hAnsi="仿宋" w:eastAsia="仿宋" w:cs="仿宋"/>
          <w:color w:val="auto"/>
          <w:spacing w:val="-3"/>
          <w:kern w:val="2"/>
          <w:sz w:val="32"/>
          <w:szCs w:val="32"/>
          <w:lang w:val="zh-CN" w:eastAsia="zh-CN" w:bidi="zh-CN"/>
        </w:rPr>
        <w:t>应建立完善的由综合型邻里中心、多元化社区共享空间构成的空间组织系统，系统性打造</w:t>
      </w:r>
      <w:r>
        <w:rPr>
          <w:rFonts w:hint="eastAsia" w:ascii="仿宋" w:hAnsi="仿宋" w:eastAsia="仿宋" w:cs="仿宋"/>
          <w:color w:val="auto"/>
          <w:spacing w:val="-3"/>
          <w:kern w:val="2"/>
          <w:sz w:val="32"/>
          <w:szCs w:val="32"/>
          <w:lang w:val="zh-CN" w:eastAsia="zh-CN" w:bidi="zh-CN"/>
        </w:rPr>
        <w:t>“</w:t>
      </w:r>
      <w:r>
        <w:rPr>
          <w:rFonts w:ascii="仿宋" w:hAnsi="仿宋" w:eastAsia="仿宋" w:cs="仿宋"/>
          <w:color w:val="auto"/>
          <w:spacing w:val="-3"/>
          <w:kern w:val="2"/>
          <w:sz w:val="32"/>
          <w:szCs w:val="32"/>
          <w:lang w:val="zh-CN" w:eastAsia="zh-CN" w:bidi="zh-CN"/>
        </w:rPr>
        <w:t>三化九场景</w:t>
      </w:r>
      <w:r>
        <w:rPr>
          <w:rFonts w:hint="eastAsia" w:ascii="仿宋" w:hAnsi="仿宋" w:eastAsia="仿宋" w:cs="仿宋"/>
          <w:color w:val="auto"/>
          <w:spacing w:val="-3"/>
          <w:kern w:val="2"/>
          <w:sz w:val="32"/>
          <w:szCs w:val="32"/>
          <w:lang w:val="zh-CN" w:eastAsia="zh-CN" w:bidi="zh-CN"/>
        </w:rPr>
        <w:t>”</w:t>
      </w:r>
      <w:r>
        <w:rPr>
          <w:rFonts w:ascii="仿宋" w:hAnsi="仿宋" w:eastAsia="仿宋" w:cs="仿宋"/>
          <w:color w:val="auto"/>
          <w:spacing w:val="-3"/>
          <w:kern w:val="2"/>
          <w:sz w:val="32"/>
          <w:szCs w:val="32"/>
          <w:lang w:val="zh-CN" w:eastAsia="zh-CN" w:bidi="zh-CN"/>
        </w:rPr>
        <w:t>体系。</w:t>
      </w:r>
    </w:p>
    <w:p>
      <w:pPr>
        <w:pStyle w:val="5"/>
        <w:spacing w:line="405" w:lineRule="exact"/>
        <w:rPr>
          <w:rFonts w:hint="eastAsia" w:ascii="黑体" w:eastAsia="黑体"/>
          <w:color w:val="auto"/>
        </w:rPr>
      </w:pPr>
      <w:r>
        <w:rPr>
          <w:rFonts w:hint="eastAsia" w:ascii="黑体" w:eastAsia="黑体"/>
          <w:color w:val="auto"/>
        </w:rPr>
        <w:t>二、建设进度合理性审查</w:t>
      </w:r>
    </w:p>
    <w:p>
      <w:pPr>
        <w:pStyle w:val="5"/>
        <w:spacing w:before="151" w:line="326" w:lineRule="auto"/>
        <w:ind w:right="259" w:firstLine="620" w:firstLineChars="200"/>
        <w:jc w:val="both"/>
        <w:rPr>
          <w:color w:val="auto"/>
        </w:rPr>
      </w:pPr>
      <w:r>
        <w:rPr>
          <w:color w:val="auto"/>
          <w:spacing w:val="-5"/>
        </w:rPr>
        <w:t>对照《省风貌办关于开展第四批城镇未来社区创建的通</w:t>
      </w:r>
      <w:r>
        <w:rPr>
          <w:color w:val="auto"/>
          <w:spacing w:val="-3"/>
          <w:w w:val="95"/>
        </w:rPr>
        <w:t xml:space="preserve">知》中对管控进度的要求，审查申请项目的建设进度的符合 </w:t>
      </w:r>
      <w:r>
        <w:rPr>
          <w:color w:val="auto"/>
          <w:spacing w:val="-3"/>
        </w:rPr>
        <w:t>性和合理性。</w:t>
      </w:r>
    </w:p>
    <w:p>
      <w:pPr>
        <w:pStyle w:val="5"/>
        <w:spacing w:before="8"/>
        <w:rPr>
          <w:rFonts w:hint="eastAsia" w:ascii="黑体" w:eastAsia="黑体"/>
          <w:color w:val="auto"/>
        </w:rPr>
      </w:pPr>
      <w:r>
        <w:rPr>
          <w:rFonts w:hint="eastAsia" w:ascii="黑体" w:eastAsia="黑体"/>
          <w:color w:val="auto"/>
        </w:rPr>
        <w:t>三、场景指标响应性审查</w:t>
      </w:r>
    </w:p>
    <w:p>
      <w:pPr>
        <w:pStyle w:val="5"/>
        <w:spacing w:before="149" w:line="326" w:lineRule="auto"/>
        <w:ind w:right="406" w:firstLine="608" w:firstLineChars="200"/>
        <w:rPr>
          <w:color w:val="auto"/>
        </w:rPr>
      </w:pPr>
      <w:r>
        <w:rPr>
          <w:color w:val="auto"/>
          <w:w w:val="95"/>
        </w:rPr>
        <w:t xml:space="preserve">1、重点审查居民需求调研情况，特色场景应充分响应 </w:t>
      </w:r>
      <w:r>
        <w:rPr>
          <w:color w:val="auto"/>
        </w:rPr>
        <w:t>居民核心需求。</w:t>
      </w:r>
    </w:p>
    <w:p>
      <w:pPr>
        <w:pStyle w:val="5"/>
        <w:spacing w:line="328" w:lineRule="auto"/>
        <w:ind w:right="213" w:firstLine="640" w:firstLineChars="200"/>
        <w:rPr>
          <w:color w:val="auto"/>
        </w:rPr>
      </w:pPr>
      <w:r>
        <w:rPr>
          <w:color w:val="auto"/>
        </w:rPr>
        <w:t>2、对照未来社区九大场景 33 项指标体系，重点审查约束性指标策划响应情况。其中新建类原则上要达到 33 项指标要求；旧改类按照</w:t>
      </w:r>
      <w:r>
        <w:rPr>
          <w:rFonts w:hint="eastAsia"/>
          <w:color w:val="auto"/>
        </w:rPr>
        <w:t>“</w:t>
      </w:r>
      <w:r>
        <w:rPr>
          <w:color w:val="auto"/>
        </w:rPr>
        <w:t>标配+选配</w:t>
      </w:r>
      <w:r>
        <w:rPr>
          <w:rFonts w:hint="eastAsia"/>
          <w:color w:val="auto"/>
        </w:rPr>
        <w:t>”</w:t>
      </w:r>
      <w:r>
        <w:rPr>
          <w:color w:val="auto"/>
        </w:rPr>
        <w:t>的要求，原则上要达到邻里、服务、治理、教育和健康五个</w:t>
      </w:r>
      <w:r>
        <w:rPr>
          <w:rFonts w:hint="eastAsia"/>
          <w:color w:val="auto"/>
        </w:rPr>
        <w:t>“</w:t>
      </w:r>
      <w:r>
        <w:rPr>
          <w:color w:val="auto"/>
        </w:rPr>
        <w:t>标配</w:t>
      </w:r>
      <w:r>
        <w:rPr>
          <w:rFonts w:hint="eastAsia"/>
          <w:color w:val="auto"/>
        </w:rPr>
        <w:t>”</w:t>
      </w:r>
      <w:r>
        <w:rPr>
          <w:color w:val="auto"/>
        </w:rPr>
        <w:t>场景要求，鼓励开展创业、建筑、交通、低碳四个</w:t>
      </w:r>
      <w:r>
        <w:rPr>
          <w:rFonts w:hint="eastAsia"/>
          <w:color w:val="auto"/>
        </w:rPr>
        <w:t>“</w:t>
      </w:r>
      <w:r>
        <w:rPr>
          <w:color w:val="auto"/>
        </w:rPr>
        <w:t>选配</w:t>
      </w:r>
      <w:r>
        <w:rPr>
          <w:rFonts w:hint="eastAsia"/>
          <w:color w:val="auto"/>
        </w:rPr>
        <w:t>”</w:t>
      </w:r>
      <w:r>
        <w:rPr>
          <w:color w:val="auto"/>
        </w:rPr>
        <w:t>场景的打造， 重点审查指标中无法响应的部分是否合理、符合实际。</w:t>
      </w:r>
    </w:p>
    <w:p>
      <w:pPr>
        <w:pStyle w:val="5"/>
        <w:spacing w:line="402" w:lineRule="exact"/>
        <w:rPr>
          <w:rFonts w:hint="eastAsia" w:ascii="黑体" w:eastAsia="黑体"/>
          <w:color w:val="auto"/>
        </w:rPr>
      </w:pPr>
      <w:r>
        <w:rPr>
          <w:rFonts w:hint="eastAsia" w:ascii="黑体" w:eastAsia="黑体"/>
          <w:color w:val="auto"/>
        </w:rPr>
        <w:t>四、受益居民计列符合性审查</w:t>
      </w:r>
    </w:p>
    <w:p>
      <w:pPr>
        <w:pStyle w:val="5"/>
        <w:spacing w:before="149"/>
        <w:ind w:left="0" w:leftChars="0" w:firstLine="640" w:firstLineChars="200"/>
        <w:rPr>
          <w:color w:val="auto"/>
        </w:rPr>
      </w:pPr>
      <w:r>
        <w:rPr>
          <w:color w:val="auto"/>
        </w:rPr>
        <w:t>审查申报项目的受益人数类型组成、各类人数和来源。</w:t>
      </w:r>
    </w:p>
    <w:p>
      <w:pPr>
        <w:pStyle w:val="5"/>
        <w:spacing w:before="149"/>
        <w:rPr>
          <w:rFonts w:hint="eastAsia" w:ascii="黑体" w:eastAsia="黑体"/>
          <w:color w:val="auto"/>
        </w:rPr>
      </w:pPr>
      <w:r>
        <w:rPr>
          <w:rFonts w:hint="eastAsia" w:ascii="黑体" w:eastAsia="黑体"/>
          <w:color w:val="auto"/>
        </w:rPr>
        <w:t>五、投资估算及资金筹措可行性审查</w:t>
      </w:r>
    </w:p>
    <w:p>
      <w:pPr>
        <w:pStyle w:val="5"/>
        <w:spacing w:before="152" w:line="326" w:lineRule="auto"/>
        <w:ind w:right="213" w:firstLine="640" w:firstLineChars="200"/>
        <w:rPr>
          <w:color w:val="auto"/>
        </w:rPr>
      </w:pPr>
      <w:r>
        <w:rPr>
          <w:color w:val="auto"/>
        </w:rPr>
        <w:t>重点审查建设期投资估算、资金筹措方案和运营期收支方案是否合理。</w:t>
      </w:r>
    </w:p>
    <w:p>
      <w:pPr>
        <w:pStyle w:val="5"/>
        <w:spacing w:before="3"/>
        <w:rPr>
          <w:rFonts w:hint="eastAsia" w:ascii="黑体" w:eastAsia="黑体"/>
          <w:color w:val="auto"/>
        </w:rPr>
      </w:pPr>
      <w:r>
        <w:rPr>
          <w:rFonts w:hint="eastAsia" w:ascii="黑体" w:eastAsia="黑体"/>
          <w:color w:val="auto"/>
        </w:rPr>
        <w:t>六、申报方案表现性审查</w:t>
      </w:r>
    </w:p>
    <w:p>
      <w:pPr>
        <w:pStyle w:val="5"/>
        <w:spacing w:before="151" w:line="326" w:lineRule="auto"/>
        <w:ind w:right="215" w:firstLine="640" w:firstLineChars="200"/>
        <w:rPr>
          <w:color w:val="auto"/>
        </w:rPr>
      </w:pPr>
      <w:r>
        <w:rPr>
          <w:color w:val="auto"/>
        </w:rPr>
        <w:t>对申报方案平面布局、开发强度、配套标准、亮点特色等进行评估论证。</w:t>
      </w:r>
    </w:p>
    <w:p>
      <w:pPr>
        <w:pStyle w:val="2"/>
        <w:rPr>
          <w:rFonts w:hint="eastAsia" w:ascii="黑体" w:hAnsi="黑体" w:eastAsia="黑体" w:cs="黑体"/>
          <w:color w:val="auto"/>
          <w:sz w:val="32"/>
          <w:lang w:val="en-US" w:eastAsia="zh-CN"/>
        </w:rPr>
        <w:sectPr>
          <w:footerReference r:id="rId4" w:type="default"/>
          <w:pgSz w:w="11906" w:h="16838"/>
          <w:pgMar w:top="1440" w:right="1800" w:bottom="1440" w:left="1800" w:header="851" w:footer="992" w:gutter="0"/>
          <w:cols w:space="425" w:num="1"/>
          <w:docGrid w:type="lines" w:linePitch="312" w:charSpace="0"/>
        </w:sectPr>
      </w:pPr>
    </w:p>
    <w:p>
      <w:pPr>
        <w:pStyle w:val="2"/>
        <w:rPr>
          <w:rFonts w:hint="eastAsia"/>
          <w:color w:val="auto"/>
          <w:lang w:eastAsia="zh-CN"/>
        </w:rPr>
        <w:sectPr>
          <w:pgSz w:w="11906" w:h="16838"/>
          <w:pgMar w:top="1440" w:right="1800" w:bottom="1440" w:left="1800" w:header="851" w:footer="992" w:gutter="0"/>
          <w:cols w:space="425" w:num="1"/>
          <w:docGrid w:type="lines" w:linePitch="312" w:charSpace="0"/>
        </w:sectPr>
      </w:pPr>
    </w:p>
    <w:p>
      <w:pPr>
        <w:rPr>
          <w:rFonts w:ascii="仿宋" w:hAnsi="仿宋" w:eastAsia="仿宋"/>
          <w:color w:val="auto"/>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3724910</wp:posOffset>
              </wp:positionH>
              <wp:positionV relativeFrom="page">
                <wp:posOffset>9935845</wp:posOffset>
              </wp:positionV>
              <wp:extent cx="1092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p>
                      </w:txbxContent>
                    </wps:txbx>
                    <wps:bodyPr lIns="0" tIns="0" rIns="0" bIns="0" upright="1"/>
                  </wps:wsp>
                </a:graphicData>
              </a:graphic>
            </wp:anchor>
          </w:drawing>
        </mc:Choice>
        <mc:Fallback>
          <w:pict>
            <v:shape id="_x0000_s1026" o:spid="_x0000_s1026" o:spt="202" type="#_x0000_t202" style="position:absolute;left:0pt;margin-left:293.3pt;margin-top:782.35pt;height:11pt;width:8.6pt;mso-position-horizontal-relative:page;mso-position-vertical-relative:page;z-index:-251657216;mso-width-relative:page;mso-height-relative:page;" filled="f" stroked="f" coordsize="21600,21600" o:gfxdata="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952H22gAAAA0BAAAPAAAAAAAAAAEAIAAAACIAAABkcnMvZG93bnJldi54bWxQSwEC&#10;FAAUAAAACACHTuJA1YPnMrkBAABx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02346"/>
    <w:multiLevelType w:val="singleLevel"/>
    <w:tmpl w:val="81002346"/>
    <w:lvl w:ilvl="0" w:tentative="0">
      <w:start w:val="2"/>
      <w:numFmt w:val="chineseCountingThousand"/>
      <w:suff w:val="nothing"/>
      <w:lvlText w:val="（%1）"/>
      <w:lvlJc w:val="left"/>
      <w:pPr>
        <w:tabs>
          <w:tab w:val="left" w:pos="420"/>
        </w:tabs>
        <w:ind w:left="0" w:firstLine="0"/>
      </w:pPr>
      <w:rPr>
        <w:rFonts w:hint="eastAsia" w:ascii="楷体" w:hAnsi="楷体" w:eastAsia="楷体" w:cs="楷体"/>
        <w:sz w:val="32"/>
      </w:rPr>
    </w:lvl>
  </w:abstractNum>
  <w:abstractNum w:abstractNumId="1">
    <w:nsid w:val="A1B8B1CE"/>
    <w:multiLevelType w:val="singleLevel"/>
    <w:tmpl w:val="A1B8B1CE"/>
    <w:lvl w:ilvl="0" w:tentative="0">
      <w:start w:val="5"/>
      <w:numFmt w:val="chineseCountingThousand"/>
      <w:suff w:val="nothing"/>
      <w:lvlText w:val="%1、"/>
      <w:lvlJc w:val="left"/>
      <w:pPr>
        <w:tabs>
          <w:tab w:val="left" w:pos="420"/>
        </w:tabs>
        <w:ind w:left="0" w:leftChars="0" w:firstLine="0" w:firstLineChars="0"/>
      </w:pPr>
      <w:rPr>
        <w:rFonts w:hint="eastAsia"/>
      </w:rPr>
    </w:lvl>
  </w:abstractNum>
  <w:abstractNum w:abstractNumId="2">
    <w:nsid w:val="A1F4ED05"/>
    <w:multiLevelType w:val="singleLevel"/>
    <w:tmpl w:val="A1F4ED05"/>
    <w:lvl w:ilvl="0" w:tentative="0">
      <w:start w:val="4"/>
      <w:numFmt w:val="chineseCountingThousand"/>
      <w:suff w:val="nothing"/>
      <w:lvlText w:val="（%1）"/>
      <w:lvlJc w:val="left"/>
      <w:pPr>
        <w:tabs>
          <w:tab w:val="left" w:pos="420"/>
        </w:tabs>
        <w:ind w:left="0" w:leftChars="0" w:firstLine="0" w:firstLineChars="0"/>
      </w:pPr>
      <w:rPr>
        <w:rFonts w:hint="eastAsia"/>
      </w:rPr>
    </w:lvl>
  </w:abstractNum>
  <w:abstractNum w:abstractNumId="3">
    <w:nsid w:val="B802DCFC"/>
    <w:multiLevelType w:val="singleLevel"/>
    <w:tmpl w:val="B802DCFC"/>
    <w:lvl w:ilvl="0" w:tentative="0">
      <w:start w:val="3"/>
      <w:numFmt w:val="chineseCountingThousand"/>
      <w:suff w:val="nothing"/>
      <w:lvlText w:val="%1、"/>
      <w:lvlJc w:val="left"/>
      <w:pPr>
        <w:tabs>
          <w:tab w:val="left" w:pos="420"/>
        </w:tabs>
        <w:ind w:left="0" w:leftChars="0" w:firstLine="0" w:firstLineChars="0"/>
      </w:pPr>
      <w:rPr>
        <w:rFonts w:hint="eastAsia"/>
      </w:rPr>
    </w:lvl>
  </w:abstractNum>
  <w:abstractNum w:abstractNumId="4">
    <w:nsid w:val="D20793B4"/>
    <w:multiLevelType w:val="singleLevel"/>
    <w:tmpl w:val="D20793B4"/>
    <w:lvl w:ilvl="0" w:tentative="0">
      <w:start w:val="1"/>
      <w:numFmt w:val="chineseCountingThousand"/>
      <w:suff w:val="nothing"/>
      <w:lvlText w:val="（%1）"/>
      <w:lvlJc w:val="left"/>
      <w:pPr>
        <w:tabs>
          <w:tab w:val="left" w:pos="420"/>
        </w:tabs>
        <w:ind w:left="0" w:leftChars="0" w:firstLine="0" w:firstLineChars="0"/>
      </w:pPr>
      <w:rPr>
        <w:rFonts w:hint="eastAsia" w:ascii="楷体" w:hAnsi="楷体" w:eastAsia="楷体" w:cs="楷体"/>
        <w:sz w:val="32"/>
      </w:rPr>
    </w:lvl>
  </w:abstractNum>
  <w:abstractNum w:abstractNumId="5">
    <w:nsid w:val="DCAD6FA6"/>
    <w:multiLevelType w:val="singleLevel"/>
    <w:tmpl w:val="DCAD6FA6"/>
    <w:lvl w:ilvl="0" w:tentative="0">
      <w:start w:val="2"/>
      <w:numFmt w:val="chineseCountingThousand"/>
      <w:suff w:val="nothing"/>
      <w:lvlText w:val="%1、"/>
      <w:lvlJc w:val="left"/>
      <w:pPr>
        <w:tabs>
          <w:tab w:val="left" w:pos="420"/>
        </w:tabs>
        <w:ind w:left="0" w:leftChars="0" w:firstLine="0" w:firstLineChars="0"/>
      </w:pPr>
      <w:rPr>
        <w:rFonts w:hint="eastAsia"/>
      </w:rPr>
    </w:lvl>
  </w:abstractNum>
  <w:abstractNum w:abstractNumId="6">
    <w:nsid w:val="15AE5958"/>
    <w:multiLevelType w:val="singleLevel"/>
    <w:tmpl w:val="15AE5958"/>
    <w:lvl w:ilvl="0" w:tentative="0">
      <w:start w:val="1"/>
      <w:numFmt w:val="chineseCountingThousand"/>
      <w:suff w:val="nothing"/>
      <w:lvlText w:val="（%1）"/>
      <w:lvlJc w:val="left"/>
      <w:pPr>
        <w:ind w:left="0" w:firstLine="0"/>
      </w:pPr>
    </w:lvl>
  </w:abstractNum>
  <w:abstractNum w:abstractNumId="7">
    <w:nsid w:val="1741D17A"/>
    <w:multiLevelType w:val="singleLevel"/>
    <w:tmpl w:val="1741D17A"/>
    <w:lvl w:ilvl="0" w:tentative="0">
      <w:start w:val="4"/>
      <w:numFmt w:val="chineseCountingThousand"/>
      <w:suff w:val="nothing"/>
      <w:lvlText w:val="（%1）"/>
      <w:lvlJc w:val="left"/>
      <w:pPr>
        <w:tabs>
          <w:tab w:val="left" w:pos="420"/>
        </w:tabs>
        <w:ind w:left="0" w:firstLine="0"/>
      </w:pPr>
      <w:rPr>
        <w:rFonts w:hint="eastAsia" w:ascii="楷体" w:hAnsi="楷体" w:eastAsia="楷体" w:cs="楷体"/>
        <w:sz w:val="32"/>
      </w:rPr>
    </w:lvl>
  </w:abstractNum>
  <w:abstractNum w:abstractNumId="8">
    <w:nsid w:val="17460B17"/>
    <w:multiLevelType w:val="singleLevel"/>
    <w:tmpl w:val="17460B17"/>
    <w:lvl w:ilvl="0" w:tentative="0">
      <w:start w:val="3"/>
      <w:numFmt w:val="chineseCountingThousand"/>
      <w:suff w:val="nothing"/>
      <w:lvlText w:val="（%1）"/>
      <w:lvlJc w:val="left"/>
      <w:pPr>
        <w:ind w:left="0" w:firstLine="0"/>
      </w:pPr>
    </w:lvl>
  </w:abstractNum>
  <w:abstractNum w:abstractNumId="9">
    <w:nsid w:val="31BC6542"/>
    <w:multiLevelType w:val="singleLevel"/>
    <w:tmpl w:val="31BC6542"/>
    <w:lvl w:ilvl="0" w:tentative="0">
      <w:start w:val="5"/>
      <w:numFmt w:val="chineseCountingThousand"/>
      <w:suff w:val="nothing"/>
      <w:lvlText w:val="（%1）"/>
      <w:lvlJc w:val="left"/>
      <w:pPr>
        <w:tabs>
          <w:tab w:val="left" w:pos="420"/>
        </w:tabs>
        <w:ind w:left="0" w:leftChars="0" w:firstLine="0" w:firstLineChars="0"/>
      </w:pPr>
      <w:rPr>
        <w:rFonts w:hint="eastAsia"/>
      </w:rPr>
    </w:lvl>
  </w:abstractNum>
  <w:abstractNum w:abstractNumId="10">
    <w:nsid w:val="59ADCABA"/>
    <w:multiLevelType w:val="multilevel"/>
    <w:tmpl w:val="59ADCABA"/>
    <w:lvl w:ilvl="0" w:tentative="0">
      <w:start w:val="1"/>
      <w:numFmt w:val="decimal"/>
      <w:lvlText w:val="（%1）"/>
      <w:lvlJc w:val="left"/>
      <w:pPr>
        <w:ind w:left="120" w:hanging="800"/>
        <w:jc w:val="left"/>
      </w:pPr>
      <w:rPr>
        <w:rFonts w:hint="default" w:ascii="仿宋" w:hAnsi="仿宋" w:eastAsia="仿宋" w:cs="仿宋"/>
        <w:w w:val="99"/>
        <w:sz w:val="30"/>
        <w:szCs w:val="30"/>
        <w:lang w:val="zh-CN" w:eastAsia="zh-CN" w:bidi="zh-CN"/>
      </w:rPr>
    </w:lvl>
    <w:lvl w:ilvl="1" w:tentative="0">
      <w:start w:val="0"/>
      <w:numFmt w:val="bullet"/>
      <w:lvlText w:val="•"/>
      <w:lvlJc w:val="left"/>
      <w:pPr>
        <w:ind w:left="976" w:hanging="800"/>
      </w:pPr>
      <w:rPr>
        <w:rFonts w:hint="default"/>
        <w:lang w:val="zh-CN" w:eastAsia="zh-CN" w:bidi="zh-CN"/>
      </w:rPr>
    </w:lvl>
    <w:lvl w:ilvl="2" w:tentative="0">
      <w:start w:val="0"/>
      <w:numFmt w:val="bullet"/>
      <w:lvlText w:val="•"/>
      <w:lvlJc w:val="left"/>
      <w:pPr>
        <w:ind w:left="1833" w:hanging="800"/>
      </w:pPr>
      <w:rPr>
        <w:rFonts w:hint="default"/>
        <w:lang w:val="zh-CN" w:eastAsia="zh-CN" w:bidi="zh-CN"/>
      </w:rPr>
    </w:lvl>
    <w:lvl w:ilvl="3" w:tentative="0">
      <w:start w:val="0"/>
      <w:numFmt w:val="bullet"/>
      <w:lvlText w:val="•"/>
      <w:lvlJc w:val="left"/>
      <w:pPr>
        <w:ind w:left="2689" w:hanging="800"/>
      </w:pPr>
      <w:rPr>
        <w:rFonts w:hint="default"/>
        <w:lang w:val="zh-CN" w:eastAsia="zh-CN" w:bidi="zh-CN"/>
      </w:rPr>
    </w:lvl>
    <w:lvl w:ilvl="4" w:tentative="0">
      <w:start w:val="0"/>
      <w:numFmt w:val="bullet"/>
      <w:lvlText w:val="•"/>
      <w:lvlJc w:val="left"/>
      <w:pPr>
        <w:ind w:left="3546" w:hanging="800"/>
      </w:pPr>
      <w:rPr>
        <w:rFonts w:hint="default"/>
        <w:lang w:val="zh-CN" w:eastAsia="zh-CN" w:bidi="zh-CN"/>
      </w:rPr>
    </w:lvl>
    <w:lvl w:ilvl="5" w:tentative="0">
      <w:start w:val="0"/>
      <w:numFmt w:val="bullet"/>
      <w:lvlText w:val="•"/>
      <w:lvlJc w:val="left"/>
      <w:pPr>
        <w:ind w:left="4403" w:hanging="800"/>
      </w:pPr>
      <w:rPr>
        <w:rFonts w:hint="default"/>
        <w:lang w:val="zh-CN" w:eastAsia="zh-CN" w:bidi="zh-CN"/>
      </w:rPr>
    </w:lvl>
    <w:lvl w:ilvl="6" w:tentative="0">
      <w:start w:val="0"/>
      <w:numFmt w:val="bullet"/>
      <w:lvlText w:val="•"/>
      <w:lvlJc w:val="left"/>
      <w:pPr>
        <w:ind w:left="5259" w:hanging="800"/>
      </w:pPr>
      <w:rPr>
        <w:rFonts w:hint="default"/>
        <w:lang w:val="zh-CN" w:eastAsia="zh-CN" w:bidi="zh-CN"/>
      </w:rPr>
    </w:lvl>
    <w:lvl w:ilvl="7" w:tentative="0">
      <w:start w:val="0"/>
      <w:numFmt w:val="bullet"/>
      <w:lvlText w:val="•"/>
      <w:lvlJc w:val="left"/>
      <w:pPr>
        <w:ind w:left="6116" w:hanging="800"/>
      </w:pPr>
      <w:rPr>
        <w:rFonts w:hint="default"/>
        <w:lang w:val="zh-CN" w:eastAsia="zh-CN" w:bidi="zh-CN"/>
      </w:rPr>
    </w:lvl>
    <w:lvl w:ilvl="8" w:tentative="0">
      <w:start w:val="0"/>
      <w:numFmt w:val="bullet"/>
      <w:lvlText w:val="•"/>
      <w:lvlJc w:val="left"/>
      <w:pPr>
        <w:ind w:left="6972" w:hanging="800"/>
      </w:pPr>
      <w:rPr>
        <w:rFonts w:hint="default"/>
        <w:lang w:val="zh-CN" w:eastAsia="zh-CN" w:bidi="zh-CN"/>
      </w:rPr>
    </w:lvl>
  </w:abstractNum>
  <w:abstractNum w:abstractNumId="11">
    <w:nsid w:val="5C6E297A"/>
    <w:multiLevelType w:val="singleLevel"/>
    <w:tmpl w:val="5C6E297A"/>
    <w:lvl w:ilvl="0" w:tentative="0">
      <w:start w:val="1"/>
      <w:numFmt w:val="chineseCountingThousand"/>
      <w:suff w:val="nothing"/>
      <w:lvlText w:val="%1、"/>
      <w:lvlJc w:val="left"/>
      <w:pPr>
        <w:ind w:left="0" w:firstLine="0"/>
      </w:pPr>
    </w:lvl>
  </w:abstractNum>
  <w:abstractNum w:abstractNumId="12">
    <w:nsid w:val="5E2500AC"/>
    <w:multiLevelType w:val="singleLevel"/>
    <w:tmpl w:val="5E2500AC"/>
    <w:lvl w:ilvl="0" w:tentative="0">
      <w:start w:val="4"/>
      <w:numFmt w:val="chineseCountingThousand"/>
      <w:suff w:val="nothing"/>
      <w:lvlText w:val="%1、"/>
      <w:lvlJc w:val="left"/>
      <w:pPr>
        <w:ind w:left="0" w:firstLine="0"/>
      </w:pPr>
    </w:lvl>
  </w:abstractNum>
  <w:abstractNum w:abstractNumId="13">
    <w:nsid w:val="60E563F9"/>
    <w:multiLevelType w:val="singleLevel"/>
    <w:tmpl w:val="60E563F9"/>
    <w:lvl w:ilvl="0" w:tentative="0">
      <w:start w:val="3"/>
      <w:numFmt w:val="chineseCountingThousand"/>
      <w:suff w:val="nothing"/>
      <w:lvlText w:val="（%1）"/>
      <w:lvlJc w:val="left"/>
      <w:pPr>
        <w:tabs>
          <w:tab w:val="left" w:pos="420"/>
        </w:tabs>
        <w:ind w:left="0" w:firstLine="0"/>
      </w:pPr>
      <w:rPr>
        <w:rFonts w:hint="eastAsia" w:ascii="楷体" w:hAnsi="楷体" w:eastAsia="楷体" w:cs="楷体"/>
        <w:sz w:val="32"/>
      </w:rPr>
    </w:lvl>
  </w:abstractNum>
  <w:abstractNum w:abstractNumId="14">
    <w:nsid w:val="6E972D27"/>
    <w:multiLevelType w:val="singleLevel"/>
    <w:tmpl w:val="6E972D27"/>
    <w:lvl w:ilvl="0" w:tentative="0">
      <w:start w:val="1"/>
      <w:numFmt w:val="chineseCountingThousand"/>
      <w:suff w:val="nothing"/>
      <w:lvlText w:val="（%1）"/>
      <w:lvlJc w:val="left"/>
      <w:pPr>
        <w:tabs>
          <w:tab w:val="left" w:pos="420"/>
        </w:tabs>
        <w:ind w:left="0" w:firstLine="0"/>
      </w:pPr>
      <w:rPr>
        <w:rFonts w:hint="eastAsia" w:ascii="楷体" w:hAnsi="楷体" w:eastAsia="楷体" w:cs="楷体"/>
        <w:sz w:val="32"/>
      </w:rPr>
    </w:lvl>
  </w:abstractNum>
  <w:abstractNum w:abstractNumId="15">
    <w:nsid w:val="74211BE6"/>
    <w:multiLevelType w:val="singleLevel"/>
    <w:tmpl w:val="74211BE6"/>
    <w:lvl w:ilvl="0" w:tentative="0">
      <w:start w:val="2"/>
      <w:numFmt w:val="chineseCountingThousand"/>
      <w:suff w:val="nothing"/>
      <w:lvlText w:val="（%1）"/>
      <w:lvlJc w:val="left"/>
      <w:pPr>
        <w:ind w:left="0" w:firstLine="0"/>
      </w:pPr>
      <w:rPr>
        <w:rFonts w:hint="eastAsia"/>
      </w:rPr>
    </w:lvl>
  </w:abstractNum>
  <w:num w:numId="1">
    <w:abstractNumId w:val="11"/>
  </w:num>
  <w:num w:numId="2">
    <w:abstractNumId w:val="5"/>
  </w:num>
  <w:num w:numId="3">
    <w:abstractNumId w:val="14"/>
  </w:num>
  <w:num w:numId="4">
    <w:abstractNumId w:val="0"/>
  </w:num>
  <w:num w:numId="5">
    <w:abstractNumId w:val="13"/>
  </w:num>
  <w:num w:numId="6">
    <w:abstractNumId w:val="7"/>
  </w:num>
  <w:num w:numId="7">
    <w:abstractNumId w:val="3"/>
  </w:num>
  <w:num w:numId="8">
    <w:abstractNumId w:val="12"/>
  </w:num>
  <w:num w:numId="9">
    <w:abstractNumId w:val="4"/>
  </w:num>
  <w:num w:numId="10">
    <w:abstractNumId w:val="1"/>
  </w:num>
  <w:num w:numId="11">
    <w:abstractNumId w:val="6"/>
  </w:num>
  <w:num w:numId="12">
    <w:abstractNumId w:val="15"/>
  </w:num>
  <w:num w:numId="13">
    <w:abstractNumId w:val="8"/>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A4"/>
    <w:rsid w:val="000011B8"/>
    <w:rsid w:val="000014C5"/>
    <w:rsid w:val="00045F12"/>
    <w:rsid w:val="00046C02"/>
    <w:rsid w:val="00074608"/>
    <w:rsid w:val="00097A03"/>
    <w:rsid w:val="000A0B39"/>
    <w:rsid w:val="000C67A3"/>
    <w:rsid w:val="00130D81"/>
    <w:rsid w:val="0014522D"/>
    <w:rsid w:val="001661D2"/>
    <w:rsid w:val="00171047"/>
    <w:rsid w:val="00177273"/>
    <w:rsid w:val="001825EC"/>
    <w:rsid w:val="00182EA9"/>
    <w:rsid w:val="0018631C"/>
    <w:rsid w:val="001A129B"/>
    <w:rsid w:val="001C4287"/>
    <w:rsid w:val="001F11D0"/>
    <w:rsid w:val="00231ADE"/>
    <w:rsid w:val="0024580F"/>
    <w:rsid w:val="0026479D"/>
    <w:rsid w:val="002C708B"/>
    <w:rsid w:val="002D664C"/>
    <w:rsid w:val="002E1379"/>
    <w:rsid w:val="002F004E"/>
    <w:rsid w:val="0031596A"/>
    <w:rsid w:val="00375206"/>
    <w:rsid w:val="00403AC9"/>
    <w:rsid w:val="00434088"/>
    <w:rsid w:val="004367AB"/>
    <w:rsid w:val="00440B4D"/>
    <w:rsid w:val="00454898"/>
    <w:rsid w:val="00462A30"/>
    <w:rsid w:val="004A4FA4"/>
    <w:rsid w:val="004C19DE"/>
    <w:rsid w:val="004C6FA6"/>
    <w:rsid w:val="004F0226"/>
    <w:rsid w:val="005311C9"/>
    <w:rsid w:val="00542231"/>
    <w:rsid w:val="00557905"/>
    <w:rsid w:val="00572442"/>
    <w:rsid w:val="005A4FC7"/>
    <w:rsid w:val="005D356A"/>
    <w:rsid w:val="005F7070"/>
    <w:rsid w:val="00636003"/>
    <w:rsid w:val="00665FA2"/>
    <w:rsid w:val="00687F13"/>
    <w:rsid w:val="006938DD"/>
    <w:rsid w:val="006C0E31"/>
    <w:rsid w:val="006C568C"/>
    <w:rsid w:val="006D401F"/>
    <w:rsid w:val="006E6128"/>
    <w:rsid w:val="00703D41"/>
    <w:rsid w:val="00743EDD"/>
    <w:rsid w:val="007773B9"/>
    <w:rsid w:val="007800F8"/>
    <w:rsid w:val="0078301C"/>
    <w:rsid w:val="00786ABD"/>
    <w:rsid w:val="007B0A35"/>
    <w:rsid w:val="007D2C70"/>
    <w:rsid w:val="007D72F1"/>
    <w:rsid w:val="007F3D30"/>
    <w:rsid w:val="00805583"/>
    <w:rsid w:val="0081484D"/>
    <w:rsid w:val="008368EB"/>
    <w:rsid w:val="00854A41"/>
    <w:rsid w:val="00890A1D"/>
    <w:rsid w:val="0089339F"/>
    <w:rsid w:val="008A5E85"/>
    <w:rsid w:val="008B57D2"/>
    <w:rsid w:val="008C4FE6"/>
    <w:rsid w:val="008D30C8"/>
    <w:rsid w:val="008E1081"/>
    <w:rsid w:val="00901417"/>
    <w:rsid w:val="00930E98"/>
    <w:rsid w:val="00946DAE"/>
    <w:rsid w:val="00956F51"/>
    <w:rsid w:val="009E4E30"/>
    <w:rsid w:val="00A0594B"/>
    <w:rsid w:val="00A26226"/>
    <w:rsid w:val="00A4251F"/>
    <w:rsid w:val="00A82A08"/>
    <w:rsid w:val="00AA4887"/>
    <w:rsid w:val="00AA65C0"/>
    <w:rsid w:val="00AB45B3"/>
    <w:rsid w:val="00AD6CFE"/>
    <w:rsid w:val="00B15048"/>
    <w:rsid w:val="00B364AE"/>
    <w:rsid w:val="00B52A38"/>
    <w:rsid w:val="00B806BD"/>
    <w:rsid w:val="00BB3D11"/>
    <w:rsid w:val="00BD6ABB"/>
    <w:rsid w:val="00C23FBF"/>
    <w:rsid w:val="00C34854"/>
    <w:rsid w:val="00C621DE"/>
    <w:rsid w:val="00C8138D"/>
    <w:rsid w:val="00C92813"/>
    <w:rsid w:val="00CB12AD"/>
    <w:rsid w:val="00CE5535"/>
    <w:rsid w:val="00D1161F"/>
    <w:rsid w:val="00D24387"/>
    <w:rsid w:val="00D45105"/>
    <w:rsid w:val="00D47173"/>
    <w:rsid w:val="00D56354"/>
    <w:rsid w:val="00D77221"/>
    <w:rsid w:val="00D8121D"/>
    <w:rsid w:val="00D83AA9"/>
    <w:rsid w:val="00D90611"/>
    <w:rsid w:val="00E06914"/>
    <w:rsid w:val="00E25241"/>
    <w:rsid w:val="00EB4979"/>
    <w:rsid w:val="00ED13E7"/>
    <w:rsid w:val="00ED65EA"/>
    <w:rsid w:val="00EE0289"/>
    <w:rsid w:val="00F211AB"/>
    <w:rsid w:val="00FA0D20"/>
    <w:rsid w:val="00FA1D8D"/>
    <w:rsid w:val="00FC1AE5"/>
    <w:rsid w:val="00FC513E"/>
    <w:rsid w:val="00FD5313"/>
    <w:rsid w:val="00FF6330"/>
    <w:rsid w:val="01164B64"/>
    <w:rsid w:val="01344E90"/>
    <w:rsid w:val="013D3D62"/>
    <w:rsid w:val="01521F91"/>
    <w:rsid w:val="02360DDD"/>
    <w:rsid w:val="023806D4"/>
    <w:rsid w:val="029141C2"/>
    <w:rsid w:val="029B44E7"/>
    <w:rsid w:val="029C3928"/>
    <w:rsid w:val="02DC2D95"/>
    <w:rsid w:val="03012D08"/>
    <w:rsid w:val="034718B3"/>
    <w:rsid w:val="03AE3B14"/>
    <w:rsid w:val="03BF1445"/>
    <w:rsid w:val="041A57F4"/>
    <w:rsid w:val="04E97B92"/>
    <w:rsid w:val="05640F24"/>
    <w:rsid w:val="057A034C"/>
    <w:rsid w:val="05C07AA5"/>
    <w:rsid w:val="0622191D"/>
    <w:rsid w:val="066A2E6F"/>
    <w:rsid w:val="0790012E"/>
    <w:rsid w:val="090125D4"/>
    <w:rsid w:val="09D77D8D"/>
    <w:rsid w:val="0A6B2CB6"/>
    <w:rsid w:val="0A8713B6"/>
    <w:rsid w:val="0B5374DA"/>
    <w:rsid w:val="0BBE7ABB"/>
    <w:rsid w:val="0BF12241"/>
    <w:rsid w:val="0DCD63F6"/>
    <w:rsid w:val="0E5946F8"/>
    <w:rsid w:val="0E81461E"/>
    <w:rsid w:val="0EF575CA"/>
    <w:rsid w:val="10175411"/>
    <w:rsid w:val="104B08E6"/>
    <w:rsid w:val="119C3922"/>
    <w:rsid w:val="1232082E"/>
    <w:rsid w:val="12AA3D36"/>
    <w:rsid w:val="12F7207C"/>
    <w:rsid w:val="13050FA8"/>
    <w:rsid w:val="13D07CDE"/>
    <w:rsid w:val="143D198B"/>
    <w:rsid w:val="14D8649D"/>
    <w:rsid w:val="14F04F5F"/>
    <w:rsid w:val="15402342"/>
    <w:rsid w:val="15A73B3B"/>
    <w:rsid w:val="15CD60F8"/>
    <w:rsid w:val="16325ABA"/>
    <w:rsid w:val="170138F3"/>
    <w:rsid w:val="17623E9E"/>
    <w:rsid w:val="17A637B9"/>
    <w:rsid w:val="181858AF"/>
    <w:rsid w:val="18226406"/>
    <w:rsid w:val="186A6E5F"/>
    <w:rsid w:val="186D1116"/>
    <w:rsid w:val="189D74A2"/>
    <w:rsid w:val="19DE36F6"/>
    <w:rsid w:val="1A560447"/>
    <w:rsid w:val="1AB87A74"/>
    <w:rsid w:val="1ACC7028"/>
    <w:rsid w:val="1C0F6B44"/>
    <w:rsid w:val="1C7D4740"/>
    <w:rsid w:val="1CD10210"/>
    <w:rsid w:val="1CDF0CAF"/>
    <w:rsid w:val="1D8E5480"/>
    <w:rsid w:val="1DA0545D"/>
    <w:rsid w:val="1DE02DB9"/>
    <w:rsid w:val="1DE61D94"/>
    <w:rsid w:val="1E1961C1"/>
    <w:rsid w:val="1E884570"/>
    <w:rsid w:val="1E965CD2"/>
    <w:rsid w:val="1EAC5D02"/>
    <w:rsid w:val="1F9A1F5A"/>
    <w:rsid w:val="2065280E"/>
    <w:rsid w:val="211D35CC"/>
    <w:rsid w:val="214A09AE"/>
    <w:rsid w:val="21A82D48"/>
    <w:rsid w:val="21D47342"/>
    <w:rsid w:val="225972FB"/>
    <w:rsid w:val="22673373"/>
    <w:rsid w:val="22A60F7E"/>
    <w:rsid w:val="22AF66D4"/>
    <w:rsid w:val="22C675DB"/>
    <w:rsid w:val="2349098A"/>
    <w:rsid w:val="237A42A0"/>
    <w:rsid w:val="23BE24D4"/>
    <w:rsid w:val="242C4809"/>
    <w:rsid w:val="2436584F"/>
    <w:rsid w:val="24A22615"/>
    <w:rsid w:val="24AB1DB0"/>
    <w:rsid w:val="2502039A"/>
    <w:rsid w:val="25146F6E"/>
    <w:rsid w:val="252F5EE2"/>
    <w:rsid w:val="254C03ED"/>
    <w:rsid w:val="25535C01"/>
    <w:rsid w:val="258D5A69"/>
    <w:rsid w:val="26177CE9"/>
    <w:rsid w:val="26E60791"/>
    <w:rsid w:val="271D0BAB"/>
    <w:rsid w:val="27537D09"/>
    <w:rsid w:val="27DE7602"/>
    <w:rsid w:val="282E3721"/>
    <w:rsid w:val="28305AE4"/>
    <w:rsid w:val="28C640B1"/>
    <w:rsid w:val="28DA1411"/>
    <w:rsid w:val="29867280"/>
    <w:rsid w:val="29A809FA"/>
    <w:rsid w:val="2A225C19"/>
    <w:rsid w:val="2A496A25"/>
    <w:rsid w:val="2AA652CE"/>
    <w:rsid w:val="2AD638B3"/>
    <w:rsid w:val="2AEF1DAA"/>
    <w:rsid w:val="2B0278D0"/>
    <w:rsid w:val="2B4D0C23"/>
    <w:rsid w:val="2B9F02C1"/>
    <w:rsid w:val="2C8248C5"/>
    <w:rsid w:val="2CC103B4"/>
    <w:rsid w:val="2CCB6E6D"/>
    <w:rsid w:val="2D80083D"/>
    <w:rsid w:val="2DC11B7A"/>
    <w:rsid w:val="2E007DC6"/>
    <w:rsid w:val="2E0D6282"/>
    <w:rsid w:val="2EB507FD"/>
    <w:rsid w:val="2ED2349D"/>
    <w:rsid w:val="2FB46E4D"/>
    <w:rsid w:val="30A23721"/>
    <w:rsid w:val="31253451"/>
    <w:rsid w:val="3297098F"/>
    <w:rsid w:val="33F512B8"/>
    <w:rsid w:val="340D646B"/>
    <w:rsid w:val="343D4EF0"/>
    <w:rsid w:val="34950E5C"/>
    <w:rsid w:val="35547162"/>
    <w:rsid w:val="355A1C46"/>
    <w:rsid w:val="358D7ABB"/>
    <w:rsid w:val="35A50BB2"/>
    <w:rsid w:val="35FE577F"/>
    <w:rsid w:val="36101734"/>
    <w:rsid w:val="36491396"/>
    <w:rsid w:val="36AA3F2C"/>
    <w:rsid w:val="36BDD132"/>
    <w:rsid w:val="37380A90"/>
    <w:rsid w:val="377D2E4B"/>
    <w:rsid w:val="388200DE"/>
    <w:rsid w:val="38DE5705"/>
    <w:rsid w:val="38E9366C"/>
    <w:rsid w:val="39F82DDE"/>
    <w:rsid w:val="3AA143EB"/>
    <w:rsid w:val="3AD44D16"/>
    <w:rsid w:val="3C597CD1"/>
    <w:rsid w:val="3CBB72C9"/>
    <w:rsid w:val="3CBC5915"/>
    <w:rsid w:val="3CE77330"/>
    <w:rsid w:val="3D224E7F"/>
    <w:rsid w:val="3D890F83"/>
    <w:rsid w:val="3E6D4516"/>
    <w:rsid w:val="3EA94E09"/>
    <w:rsid w:val="3FE5733D"/>
    <w:rsid w:val="3FFF12FE"/>
    <w:rsid w:val="405E5CC1"/>
    <w:rsid w:val="4074676A"/>
    <w:rsid w:val="40773CF9"/>
    <w:rsid w:val="40983E88"/>
    <w:rsid w:val="41127926"/>
    <w:rsid w:val="41957203"/>
    <w:rsid w:val="41A44BC4"/>
    <w:rsid w:val="41C06C0E"/>
    <w:rsid w:val="42402DC6"/>
    <w:rsid w:val="42E050C3"/>
    <w:rsid w:val="432E2195"/>
    <w:rsid w:val="432F3447"/>
    <w:rsid w:val="43327523"/>
    <w:rsid w:val="43956CB3"/>
    <w:rsid w:val="43AE385E"/>
    <w:rsid w:val="43C470CF"/>
    <w:rsid w:val="43ED360F"/>
    <w:rsid w:val="44062E57"/>
    <w:rsid w:val="44142FF0"/>
    <w:rsid w:val="44AB0BC4"/>
    <w:rsid w:val="44E162F6"/>
    <w:rsid w:val="45123597"/>
    <w:rsid w:val="451B1E6A"/>
    <w:rsid w:val="455D75DE"/>
    <w:rsid w:val="473E7C2A"/>
    <w:rsid w:val="496D79EF"/>
    <w:rsid w:val="496E45E0"/>
    <w:rsid w:val="49C04FBA"/>
    <w:rsid w:val="4A1324EB"/>
    <w:rsid w:val="4B520D6B"/>
    <w:rsid w:val="4B963A09"/>
    <w:rsid w:val="4BD95DD2"/>
    <w:rsid w:val="4BDC5512"/>
    <w:rsid w:val="4BED5B6A"/>
    <w:rsid w:val="4C51006C"/>
    <w:rsid w:val="4CE037B0"/>
    <w:rsid w:val="4CFB32D4"/>
    <w:rsid w:val="4DF53F69"/>
    <w:rsid w:val="4E451B11"/>
    <w:rsid w:val="4E475A78"/>
    <w:rsid w:val="4F031BE8"/>
    <w:rsid w:val="4F493154"/>
    <w:rsid w:val="4FA94134"/>
    <w:rsid w:val="50416319"/>
    <w:rsid w:val="51185891"/>
    <w:rsid w:val="515C39B3"/>
    <w:rsid w:val="51734C4A"/>
    <w:rsid w:val="5182153A"/>
    <w:rsid w:val="51CE2C56"/>
    <w:rsid w:val="51DA202C"/>
    <w:rsid w:val="5228162D"/>
    <w:rsid w:val="5250435D"/>
    <w:rsid w:val="527E3192"/>
    <w:rsid w:val="53190DF1"/>
    <w:rsid w:val="539E0994"/>
    <w:rsid w:val="53E65105"/>
    <w:rsid w:val="54823C81"/>
    <w:rsid w:val="54BD777A"/>
    <w:rsid w:val="54EC5D8B"/>
    <w:rsid w:val="55CE6CFE"/>
    <w:rsid w:val="55F03B29"/>
    <w:rsid w:val="560F1CA3"/>
    <w:rsid w:val="560F3AD4"/>
    <w:rsid w:val="56153967"/>
    <w:rsid w:val="561549A9"/>
    <w:rsid w:val="568C363A"/>
    <w:rsid w:val="579B7467"/>
    <w:rsid w:val="57B71274"/>
    <w:rsid w:val="57C07924"/>
    <w:rsid w:val="57DD7E84"/>
    <w:rsid w:val="57EA72A4"/>
    <w:rsid w:val="58111830"/>
    <w:rsid w:val="596172CC"/>
    <w:rsid w:val="59AC37D4"/>
    <w:rsid w:val="59B21DA1"/>
    <w:rsid w:val="59CE6FF8"/>
    <w:rsid w:val="59FA722C"/>
    <w:rsid w:val="5B774E31"/>
    <w:rsid w:val="5BE10190"/>
    <w:rsid w:val="5BF1737C"/>
    <w:rsid w:val="5C9B32F4"/>
    <w:rsid w:val="5DAA5775"/>
    <w:rsid w:val="5DCB6167"/>
    <w:rsid w:val="5E4B535A"/>
    <w:rsid w:val="5E53505A"/>
    <w:rsid w:val="5E7E3411"/>
    <w:rsid w:val="5F470B4E"/>
    <w:rsid w:val="5F640087"/>
    <w:rsid w:val="5FE86F14"/>
    <w:rsid w:val="600D4A4C"/>
    <w:rsid w:val="61E822BD"/>
    <w:rsid w:val="6208199C"/>
    <w:rsid w:val="62362F59"/>
    <w:rsid w:val="630A16B1"/>
    <w:rsid w:val="6381647F"/>
    <w:rsid w:val="63A903B5"/>
    <w:rsid w:val="63B21ADD"/>
    <w:rsid w:val="642C0E18"/>
    <w:rsid w:val="643A31EA"/>
    <w:rsid w:val="653D120F"/>
    <w:rsid w:val="654D3D89"/>
    <w:rsid w:val="65DA1647"/>
    <w:rsid w:val="6600462A"/>
    <w:rsid w:val="66D20C1D"/>
    <w:rsid w:val="67E350E6"/>
    <w:rsid w:val="68761A4E"/>
    <w:rsid w:val="68B47EFF"/>
    <w:rsid w:val="6ACE7810"/>
    <w:rsid w:val="6AF01F60"/>
    <w:rsid w:val="6B405962"/>
    <w:rsid w:val="6BD42ED7"/>
    <w:rsid w:val="6C511C3B"/>
    <w:rsid w:val="6C544C2D"/>
    <w:rsid w:val="6C6C2027"/>
    <w:rsid w:val="6C754935"/>
    <w:rsid w:val="6CA80E93"/>
    <w:rsid w:val="6CD030AF"/>
    <w:rsid w:val="6D264374"/>
    <w:rsid w:val="6D672F07"/>
    <w:rsid w:val="6D794D61"/>
    <w:rsid w:val="6E14652A"/>
    <w:rsid w:val="6E572392"/>
    <w:rsid w:val="6F125B88"/>
    <w:rsid w:val="6F3F2D39"/>
    <w:rsid w:val="6FA02B61"/>
    <w:rsid w:val="701B21FF"/>
    <w:rsid w:val="703421E7"/>
    <w:rsid w:val="70CD5987"/>
    <w:rsid w:val="717E17D9"/>
    <w:rsid w:val="722B5181"/>
    <w:rsid w:val="726B282A"/>
    <w:rsid w:val="733147E2"/>
    <w:rsid w:val="735945A4"/>
    <w:rsid w:val="739E5620"/>
    <w:rsid w:val="73E02170"/>
    <w:rsid w:val="73FD3283"/>
    <w:rsid w:val="74321CDD"/>
    <w:rsid w:val="745D7DEE"/>
    <w:rsid w:val="74857A67"/>
    <w:rsid w:val="74AB5990"/>
    <w:rsid w:val="75B70879"/>
    <w:rsid w:val="77AF7E24"/>
    <w:rsid w:val="7829461B"/>
    <w:rsid w:val="78597B18"/>
    <w:rsid w:val="788F7046"/>
    <w:rsid w:val="79853257"/>
    <w:rsid w:val="79DB4093"/>
    <w:rsid w:val="7B5630EA"/>
    <w:rsid w:val="7B873538"/>
    <w:rsid w:val="7BA55A80"/>
    <w:rsid w:val="7BCB2B73"/>
    <w:rsid w:val="7C3D5354"/>
    <w:rsid w:val="7CC46F3F"/>
    <w:rsid w:val="7D9E3F33"/>
    <w:rsid w:val="7DBB1D64"/>
    <w:rsid w:val="7DD1715D"/>
    <w:rsid w:val="7E1873F9"/>
    <w:rsid w:val="BD7F3FE7"/>
    <w:rsid w:val="F21F2B89"/>
    <w:rsid w:val="F8FE91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1"/>
    <w:pPr>
      <w:ind w:left="760"/>
      <w:outlineLvl w:val="1"/>
    </w:pPr>
    <w:rPr>
      <w:rFonts w:ascii="仿宋" w:hAnsi="仿宋" w:eastAsia="仿宋" w:cs="仿宋"/>
      <w:b/>
      <w:bCs/>
      <w:sz w:val="32"/>
      <w:szCs w:val="32"/>
      <w:lang w:val="zh-CN" w:eastAsia="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0" w:firstLine="40"/>
    </w:pPr>
    <w:rPr>
      <w:rFonts w:cs="仿宋_GB2312"/>
      <w:szCs w:val="32"/>
    </w:rPr>
  </w:style>
  <w:style w:type="paragraph" w:styleId="3">
    <w:name w:val="Body Text Indent"/>
    <w:basedOn w:val="1"/>
    <w:next w:val="1"/>
    <w:unhideWhenUsed/>
    <w:qFormat/>
    <w:uiPriority w:val="99"/>
    <w:pPr>
      <w:ind w:left="420"/>
    </w:pPr>
  </w:style>
  <w:style w:type="paragraph" w:styleId="5">
    <w:name w:val="Body Text"/>
    <w:basedOn w:val="1"/>
    <w:qFormat/>
    <w:uiPriority w:val="1"/>
    <w:pPr>
      <w:ind w:left="120" w:firstLine="640"/>
    </w:pPr>
    <w:rPr>
      <w:rFonts w:ascii="仿宋" w:hAnsi="仿宋" w:eastAsia="仿宋" w:cs="仿宋"/>
      <w:sz w:val="32"/>
      <w:szCs w:val="32"/>
      <w:lang w:val="zh-CN" w:eastAsia="zh-CN" w:bidi="zh-CN"/>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List Paragraph"/>
    <w:basedOn w:val="1"/>
    <w:qFormat/>
    <w:uiPriority w:val="34"/>
    <w:pPr>
      <w:ind w:firstLine="420" w:firstLineChars="200"/>
    </w:pPr>
  </w:style>
  <w:style w:type="paragraph" w:customStyle="1" w:styleId="12">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13">
    <w:name w:val="Heading #2|1"/>
    <w:basedOn w:val="1"/>
    <w:qFormat/>
    <w:uiPriority w:val="0"/>
    <w:pPr>
      <w:spacing w:after="660" w:line="686" w:lineRule="exact"/>
      <w:ind w:left="580" w:hanging="580"/>
      <w:outlineLvl w:val="1"/>
    </w:pPr>
    <w:rPr>
      <w:rFonts w:ascii="宋体" w:hAnsi="宋体" w:eastAsia="宋体" w:cs="宋体"/>
      <w:sz w:val="44"/>
      <w:szCs w:val="44"/>
      <w:lang w:val="zh-TW" w:eastAsia="zh-TW" w:bidi="zh-TW"/>
    </w:rPr>
  </w:style>
  <w:style w:type="character" w:customStyle="1" w:styleId="14">
    <w:name w:val="页眉 字符"/>
    <w:basedOn w:val="10"/>
    <w:link w:val="8"/>
    <w:qFormat/>
    <w:uiPriority w:val="99"/>
    <w:rPr>
      <w:kern w:val="2"/>
      <w:sz w:val="18"/>
      <w:szCs w:val="18"/>
    </w:rPr>
  </w:style>
  <w:style w:type="character" w:customStyle="1" w:styleId="15">
    <w:name w:val="页脚 字符"/>
    <w:basedOn w:val="10"/>
    <w:link w:val="7"/>
    <w:qFormat/>
    <w:uiPriority w:val="99"/>
    <w:rPr>
      <w:kern w:val="2"/>
      <w:sz w:val="18"/>
      <w:szCs w:val="18"/>
    </w:rPr>
  </w:style>
  <w:style w:type="character" w:customStyle="1" w:styleId="16">
    <w:name w:val="批注框文本 字符"/>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855</Words>
  <Characters>4876</Characters>
  <Lines>40</Lines>
  <Paragraphs>11</Paragraphs>
  <TotalTime>136</TotalTime>
  <ScaleCrop>false</ScaleCrop>
  <LinksUpToDate>false</LinksUpToDate>
  <CharactersWithSpaces>5720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2021-10-11T16:08:00Z</dcterms:created>
  <dc:creator>JXG</dc:creator>
  <cp:lastModifiedBy>JHL。</cp:lastModifiedBy>
  <cp:lastPrinted>2021-10-31T13:28:00Z</cp:lastPrinted>
  <dcterms:modified xsi:type="dcterms:W3CDTF">2021-11-08T09:12:20Z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44704356866447158B1C1A963609D0A4</vt:lpwstr>
  </property>
</Properties>
</file>