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富阳区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渔山乡人民政府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spacing w:line="560" w:lineRule="exact"/>
        <w:rPr>
          <w:rFonts w:ascii="仿宋_GB2312" w:hAnsi="宋体" w:eastAsia="仿宋_GB2312" w:cs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根据新修订的《中华人民共和国政府信息公开条例》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以下简称《条例》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杭州市富阳区人民政府办公室关于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推进富阳区政务公开统一管理平台建设的通知》（富政办〔 2019 〕12号）的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结合我乡工作实际，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认真开展政府信息公开工作。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现将全年工作情况总结如下：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坚持以公开为常态、不公开为例外，遵循公正、公平、合法、便民原则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做好政务公开。乡党政办作为政务公开日常机构，开展制定政府信息公开年度计划，协调年度目标任务等各项工作，并安排1名工作人员具体负责，确保政务公开工作顺利进行。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截至2020年12月31日，我乡通过政府信息公开平台主动公开政府信息</w:t>
      </w:r>
      <w:r>
        <w:rPr>
          <w:rStyle w:val="8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293条，同时通过新媒体政务微信公众平台推送信息537条，尽可能满足群众足不出户知乡情。</w:t>
      </w:r>
      <w:bookmarkStart w:id="0" w:name="_GoBack"/>
      <w:bookmarkEnd w:id="0"/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24"/>
                <w:szCs w:val="24"/>
                <w:lang w:val="en-US" w:eastAsia="zh-CN" w:bidi="ar-SA"/>
              </w:rPr>
              <w:t>1559683.98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2020年，我乡政府信息公开工作虽然取得了一定的成绩，但也存在一些困难和问题，主要是：对信息工作认识不足，公开及时性还欠缺；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乡镇本级政策解读形式单一</w:t>
      </w:r>
      <w:r>
        <w:rPr>
          <w:rFonts w:hint="default" w:ascii="仿宋_GB2312" w:hAnsi="仿宋_GB2312" w:eastAsia="仿宋_GB2312" w:cs="仿宋_GB2312"/>
          <w:sz w:val="32"/>
          <w:szCs w:val="32"/>
        </w:rPr>
        <w:t>、质量不高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信息公开长效机制还有待进一步完善，执行的力度还有待加强。维持我们将从三个方面着手改进：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进一步加强学习。组织学习《中华人民共和国政府信息公开条例》，进一步加强各职能科室主动公开信息素养养成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完善信息公开制度体系。进一步强化信息公开协调机制，健全信息公开受理、登记、办理、审核、答复、归档等环节工作制度，推进信息公开工作法制化、规范化、标准化。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进一步规范政策解读工作。严格按照“谁起草、谁解读”的原则开展政策解读工作，健全政策文件解读机制和转载机制，持续做好重要政策信息的转载和发布工作。</w:t>
      </w:r>
    </w:p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E6B92"/>
    <w:multiLevelType w:val="singleLevel"/>
    <w:tmpl w:val="C96E6B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B1E00"/>
    <w:rsid w:val="13D565BE"/>
    <w:rsid w:val="61866ADB"/>
    <w:rsid w:val="623B1E00"/>
    <w:rsid w:val="695605B8"/>
    <w:rsid w:val="6F4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2021-01-11T01:28:00Z</dcterms:created>
  <dc:creator>匿名用户</dc:creator>
  <cp:lastModifiedBy>匿名用户</cp:lastModifiedBy>
  <dcterms:modified xsi:type="dcterms:W3CDTF">2021-02-03T01:27:31Z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