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富阳区</w:t>
      </w:r>
      <w:r>
        <w:rPr>
          <w:rFonts w:hint="eastAsia" w:ascii="方正小标宋简体" w:hAnsi="方正小标宋简体" w:eastAsia="方正小标宋简体" w:cs="方正小标宋简体"/>
          <w:sz w:val="44"/>
          <w:szCs w:val="44"/>
          <w:lang w:val="en-US" w:eastAsia="zh-CN"/>
        </w:rPr>
        <w:t>人民政府春江街道办事处</w:t>
      </w:r>
    </w:p>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21年度</w:t>
      </w: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kinsoku/>
        <w:wordWrap/>
        <w:overflowPunct/>
        <w:topLinePunct w:val="0"/>
        <w:autoSpaceDE/>
        <w:autoSpaceDN/>
        <w:bidi w:val="0"/>
        <w:adjustRightInd/>
        <w:snapToGrid/>
        <w:spacing w:line="580" w:lineRule="exact"/>
        <w:rPr>
          <w:rFonts w:ascii="仿宋_GB2312" w:hAnsi="宋体" w:eastAsia="仿宋_GB2312" w:cs="宋体"/>
          <w:sz w:val="30"/>
          <w:szCs w:val="30"/>
        </w:rPr>
      </w:pP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根据《中华人民共和国政府信息公开条例》第五十条规定，编制富阳区</w:t>
      </w:r>
      <w:r>
        <w:rPr>
          <w:rFonts w:hint="eastAsia" w:ascii="仿宋_GB2312" w:hAnsi="仿宋_GB2312" w:eastAsia="仿宋_GB2312" w:cs="仿宋_GB2312"/>
          <w:sz w:val="32"/>
          <w:szCs w:val="32"/>
          <w:highlight w:val="none"/>
          <w:lang w:val="en-US" w:eastAsia="zh-CN"/>
        </w:rPr>
        <w:t>人民政府春江街道办事处</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年度政府信息公开工作年度报告</w:t>
      </w:r>
      <w:r>
        <w:rPr>
          <w:rFonts w:hint="eastAsia" w:ascii="仿宋_GB2312" w:hAnsi="仿宋_GB2312" w:eastAsia="仿宋_GB2312" w:cs="仿宋_GB2312"/>
          <w:sz w:val="32"/>
          <w:szCs w:val="32"/>
          <w:highlight w:val="none"/>
          <w:lang w:eastAsia="zh-CN"/>
        </w:rPr>
        <w:t>。本年度报告全文由</w:t>
      </w:r>
      <w:r>
        <w:rPr>
          <w:rFonts w:hint="eastAsia" w:ascii="仿宋_GB2312" w:hAnsi="仿宋_GB2312" w:eastAsia="仿宋_GB2312" w:cs="仿宋_GB2312"/>
          <w:sz w:val="32"/>
          <w:szCs w:val="32"/>
          <w:highlight w:val="none"/>
          <w:lang w:val="en-US" w:eastAsia="zh-CN"/>
        </w:rPr>
        <w:t>2021年政务公开工作完成情况及成效（包括主动公开、依申请公开、平台建设、政策解读、回应关切、监督保障等方面内容）、工作中存在的主要问题及改进情况等</w:t>
      </w:r>
      <w:r>
        <w:rPr>
          <w:rFonts w:hint="eastAsia" w:ascii="仿宋_GB2312" w:hAnsi="仿宋_GB2312" w:eastAsia="仿宋_GB2312" w:cs="仿宋_GB2312"/>
          <w:sz w:val="32"/>
          <w:szCs w:val="32"/>
          <w:highlight w:val="none"/>
          <w:lang w:eastAsia="zh-CN"/>
        </w:rPr>
        <w:t>组成。本报告中所列数据的统计时限自20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lang w:eastAsia="zh-CN"/>
        </w:rPr>
        <w:t>年1月1日起至20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lang w:eastAsia="zh-CN"/>
        </w:rPr>
        <w:t>年12月31日止。</w:t>
      </w:r>
    </w:p>
    <w:p>
      <w:pPr>
        <w:keepNext w:val="0"/>
        <w:keepLines w:val="0"/>
        <w:pageBreakBefore w:val="0"/>
        <w:kinsoku/>
        <w:wordWrap/>
        <w:overflowPunct/>
        <w:topLinePunct w:val="0"/>
        <w:autoSpaceDE/>
        <w:autoSpaceDN/>
        <w:bidi w:val="0"/>
        <w:adjustRightInd/>
        <w:snapToGrid/>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一、总体情况</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春江街道严格按照《中华人民共和国政府信息公开条例》有关要求及省、市、区相关规定，加强组织领导，建立健全政府信息公开组织机构和规章制度，强化上下联动、互通共享的工作机制，严格落实“以公开为常态、不公开为例外”要求，扩大主动公开的广度和深度，做好街道各项公共政策的对外解读工作，切实保障人民群众的知情权、参与权、表达权和监督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（一）主动公开</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针对主动公开的政府信息，本机关主要通过区政府门户网站政府信息公开平台进行公开。本机关还采取新闻发布会、报刊、广播、电视、政务微博微信等其他辅助方式公开政府信息。通过区政府门户网站等信息化平台网站，依法主动公开政务政府信息</w:t>
      </w:r>
      <w:r>
        <w:rPr>
          <w:rFonts w:hint="eastAsia" w:ascii="仿宋_GB2312" w:hAnsi="仿宋_GB2312" w:eastAsia="仿宋_GB2312" w:cs="仿宋_GB2312"/>
          <w:sz w:val="32"/>
          <w:szCs w:val="32"/>
          <w:highlight w:val="none"/>
          <w:lang w:val="en-US" w:eastAsia="zh-CN"/>
        </w:rPr>
        <w:t>266条。其中，街道文件4条，行政决策7条（重大行政决策相关信息3条），财政信息8条，人事信息5条，公告公示13条，重点领域公开信息35条，政府信息公开指南1条，政府信息公开年报1份，工作动态192条。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（二）依申请公开</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2021年度，街道未收到政务信息依申请公开的申请。</w:t>
      </w:r>
    </w:p>
    <w:p>
      <w:pPr>
        <w:pStyle w:val="2"/>
        <w:keepNext w:val="0"/>
        <w:keepLines w:val="0"/>
        <w:pageBreakBefore w:val="0"/>
        <w:widowControl/>
        <w:numPr>
          <w:ilvl w:val="0"/>
          <w:numId w:val="1"/>
        </w:numPr>
        <w:kinsoku/>
        <w:wordWrap/>
        <w:overflowPunct/>
        <w:topLinePunct w:val="0"/>
        <w:autoSpaceDE/>
        <w:autoSpaceDN/>
        <w:bidi w:val="0"/>
        <w:adjustRightInd/>
        <w:snapToGrid/>
        <w:ind w:firstLine="640" w:firstLineChars="200"/>
        <w:textAlignment w:val="auto"/>
        <w:rPr>
          <w:rFonts w:hint="eastAsia" w:ascii="楷体" w:hAnsi="楷体" w:eastAsia="楷体" w:cs="楷体"/>
          <w:b w:val="0"/>
          <w:bCs w:val="0"/>
          <w:kern w:val="2"/>
          <w:sz w:val="32"/>
          <w:szCs w:val="32"/>
          <w:highlight w:val="yellow"/>
          <w:lang w:val="en-US" w:eastAsia="zh-CN" w:bidi="ar-SA"/>
        </w:rPr>
      </w:pPr>
      <w:bookmarkStart w:id="0" w:name="_GoBack"/>
      <w:r>
        <w:rPr>
          <w:rFonts w:hint="eastAsia" w:ascii="楷体" w:hAnsi="楷体" w:eastAsia="楷体" w:cs="楷体"/>
          <w:b w:val="0"/>
          <w:bCs w:val="0"/>
          <w:kern w:val="2"/>
          <w:sz w:val="32"/>
          <w:szCs w:val="32"/>
          <w:highlight w:val="yellow"/>
          <w:lang w:val="en-US" w:eastAsia="zh-CN" w:bidi="ar-SA"/>
        </w:rPr>
        <w:t>政府信息管理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kern w:val="2"/>
          <w:sz w:val="32"/>
          <w:szCs w:val="32"/>
          <w:highlight w:val="yellow"/>
          <w:lang w:val="en-US" w:eastAsia="zh-CN" w:bidi="ar-SA"/>
        </w:rPr>
      </w:pPr>
      <w:r>
        <w:rPr>
          <w:rFonts w:hint="default" w:ascii="仿宋_GB2312" w:hAnsi="仿宋_GB2312" w:eastAsia="仿宋_GB2312" w:cs="仿宋_GB2312"/>
          <w:b w:val="0"/>
          <w:bCs w:val="0"/>
          <w:kern w:val="2"/>
          <w:sz w:val="32"/>
          <w:szCs w:val="32"/>
          <w:highlight w:val="yellow"/>
          <w:lang w:val="en-US" w:eastAsia="zh-CN" w:bidi="ar-SA"/>
        </w:rPr>
        <w:t>按照“统一管理、统一标准、统一规范”的原则</w:t>
      </w:r>
      <w:r>
        <w:rPr>
          <w:rFonts w:hint="eastAsia" w:ascii="仿宋_GB2312" w:hAnsi="仿宋_GB2312" w:eastAsia="仿宋_GB2312" w:cs="仿宋_GB2312"/>
          <w:b w:val="0"/>
          <w:bCs w:val="0"/>
          <w:kern w:val="2"/>
          <w:sz w:val="32"/>
          <w:szCs w:val="32"/>
          <w:highlight w:val="yellow"/>
          <w:lang w:val="en-US" w:eastAsia="zh-CN" w:bidi="ar-SA"/>
        </w:rPr>
        <w:t>进一步</w:t>
      </w:r>
      <w:r>
        <w:rPr>
          <w:rFonts w:hint="default" w:ascii="仿宋_GB2312" w:hAnsi="仿宋_GB2312" w:eastAsia="仿宋_GB2312" w:cs="仿宋_GB2312"/>
          <w:b w:val="0"/>
          <w:bCs w:val="0"/>
          <w:kern w:val="2"/>
          <w:sz w:val="32"/>
          <w:szCs w:val="32"/>
          <w:highlight w:val="yellow"/>
          <w:lang w:val="en-US" w:eastAsia="zh-CN" w:bidi="ar-SA"/>
        </w:rPr>
        <w:t>完善</w:t>
      </w:r>
      <w:r>
        <w:rPr>
          <w:rFonts w:hint="eastAsia" w:ascii="仿宋_GB2312" w:hAnsi="仿宋_GB2312" w:eastAsia="仿宋_GB2312" w:cs="仿宋_GB2312"/>
          <w:b w:val="0"/>
          <w:bCs w:val="0"/>
          <w:kern w:val="2"/>
          <w:sz w:val="32"/>
          <w:szCs w:val="32"/>
          <w:highlight w:val="yellow"/>
          <w:lang w:val="en-US" w:eastAsia="zh-CN" w:bidi="ar-SA"/>
        </w:rPr>
        <w:t>政府信息公开</w:t>
      </w:r>
      <w:r>
        <w:rPr>
          <w:rFonts w:hint="default" w:ascii="仿宋_GB2312" w:hAnsi="仿宋_GB2312" w:eastAsia="仿宋_GB2312" w:cs="仿宋_GB2312"/>
          <w:b w:val="0"/>
          <w:bCs w:val="0"/>
          <w:kern w:val="2"/>
          <w:sz w:val="32"/>
          <w:szCs w:val="32"/>
          <w:highlight w:val="yellow"/>
          <w:lang w:val="en-US" w:eastAsia="zh-CN" w:bidi="ar-SA"/>
        </w:rPr>
        <w:t>工作机制</w:t>
      </w:r>
      <w:r>
        <w:rPr>
          <w:rFonts w:hint="eastAsia" w:ascii="仿宋_GB2312" w:hAnsi="仿宋_GB2312" w:eastAsia="仿宋_GB2312" w:cs="仿宋_GB2312"/>
          <w:b w:val="0"/>
          <w:bCs w:val="0"/>
          <w:kern w:val="2"/>
          <w:sz w:val="32"/>
          <w:szCs w:val="32"/>
          <w:highlight w:val="yellow"/>
          <w:lang w:val="en-US" w:eastAsia="zh-CN" w:bidi="ar-SA"/>
        </w:rPr>
        <w:t>。以政府信息公开为契机，</w:t>
      </w:r>
      <w:r>
        <w:rPr>
          <w:rFonts w:hint="default" w:ascii="仿宋_GB2312" w:hAnsi="仿宋_GB2312" w:eastAsia="仿宋_GB2312" w:cs="仿宋_GB2312"/>
          <w:b w:val="0"/>
          <w:bCs w:val="0"/>
          <w:kern w:val="2"/>
          <w:sz w:val="32"/>
          <w:szCs w:val="32"/>
          <w:highlight w:val="yellow"/>
          <w:lang w:val="en-US" w:eastAsia="zh-CN" w:bidi="ar-SA"/>
        </w:rPr>
        <w:t>建立健全政务信息制作、公开、存档等</w:t>
      </w:r>
      <w:r>
        <w:rPr>
          <w:rFonts w:hint="eastAsia" w:ascii="仿宋_GB2312" w:hAnsi="仿宋_GB2312" w:eastAsia="仿宋_GB2312" w:cs="仿宋_GB2312"/>
          <w:b w:val="0"/>
          <w:bCs w:val="0"/>
          <w:kern w:val="2"/>
          <w:sz w:val="32"/>
          <w:szCs w:val="32"/>
          <w:highlight w:val="yellow"/>
          <w:lang w:val="en-US" w:eastAsia="zh-CN" w:bidi="ar-SA"/>
        </w:rPr>
        <w:t>全流程</w:t>
      </w:r>
      <w:r>
        <w:rPr>
          <w:rFonts w:hint="default" w:ascii="仿宋_GB2312" w:hAnsi="仿宋_GB2312" w:eastAsia="仿宋_GB2312" w:cs="仿宋_GB2312"/>
          <w:b w:val="0"/>
          <w:bCs w:val="0"/>
          <w:kern w:val="2"/>
          <w:sz w:val="32"/>
          <w:szCs w:val="32"/>
          <w:highlight w:val="yellow"/>
          <w:lang w:val="en-US" w:eastAsia="zh-CN" w:bidi="ar-SA"/>
        </w:rPr>
        <w:t>制度，</w:t>
      </w:r>
      <w:r>
        <w:rPr>
          <w:rFonts w:hint="eastAsia" w:ascii="仿宋_GB2312" w:hAnsi="仿宋_GB2312" w:eastAsia="仿宋_GB2312" w:cs="仿宋_GB2312"/>
          <w:b w:val="0"/>
          <w:bCs w:val="0"/>
          <w:kern w:val="2"/>
          <w:sz w:val="32"/>
          <w:szCs w:val="32"/>
          <w:highlight w:val="yellow"/>
          <w:lang w:val="en-US" w:eastAsia="zh-CN" w:bidi="ar-SA"/>
        </w:rPr>
        <w:t>以实现</w:t>
      </w:r>
      <w:r>
        <w:rPr>
          <w:rFonts w:hint="default" w:ascii="仿宋_GB2312" w:hAnsi="仿宋_GB2312" w:eastAsia="仿宋_GB2312" w:cs="仿宋_GB2312"/>
          <w:b w:val="0"/>
          <w:bCs w:val="0"/>
          <w:kern w:val="2"/>
          <w:sz w:val="32"/>
          <w:szCs w:val="32"/>
          <w:highlight w:val="yellow"/>
          <w:lang w:val="en-US" w:eastAsia="zh-CN" w:bidi="ar-SA"/>
        </w:rPr>
        <w:t>政务信息全生命周期的规范管理。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bCs/>
          <w:sz w:val="32"/>
          <w:szCs w:val="32"/>
          <w:highlight w:val="yellow"/>
          <w:lang w:val="en-US" w:eastAsia="zh-CN"/>
        </w:rPr>
        <w:t>一是强化政府信息公开的常态管理。</w:t>
      </w:r>
      <w:r>
        <w:rPr>
          <w:rFonts w:hint="eastAsia" w:ascii="仿宋_GB2312" w:hAnsi="仿宋_GB2312" w:eastAsia="仿宋_GB2312" w:cs="仿宋_GB2312"/>
          <w:sz w:val="32"/>
          <w:szCs w:val="32"/>
          <w:highlight w:val="yellow"/>
          <w:lang w:val="en-US" w:eastAsia="zh-CN"/>
        </w:rPr>
        <w:t>依托政府网站与政务新媒体常态监测及区府办定期通报，查漏补缺，切实推动政府网站和政务新媒体健康发展。</w:t>
      </w:r>
      <w:r>
        <w:rPr>
          <w:rFonts w:hint="eastAsia" w:ascii="仿宋_GB2312" w:hAnsi="仿宋_GB2312" w:eastAsia="仿宋_GB2312" w:cs="仿宋_GB2312"/>
          <w:b/>
          <w:bCs/>
          <w:sz w:val="32"/>
          <w:szCs w:val="32"/>
          <w:highlight w:val="yellow"/>
          <w:lang w:val="en-US" w:eastAsia="zh-CN"/>
        </w:rPr>
        <w:t>二是强化政府信息公开的服务保障。</w:t>
      </w:r>
      <w:r>
        <w:rPr>
          <w:rFonts w:hint="eastAsia" w:ascii="仿宋_GB2312" w:hAnsi="仿宋_GB2312" w:eastAsia="仿宋_GB2312" w:cs="仿宋_GB2312"/>
          <w:b w:val="0"/>
          <w:bCs w:val="0"/>
          <w:sz w:val="32"/>
          <w:szCs w:val="32"/>
          <w:highlight w:val="yellow"/>
          <w:lang w:val="en-US" w:eastAsia="zh-CN"/>
        </w:rPr>
        <w:t>对相关工作人员</w:t>
      </w:r>
      <w:r>
        <w:rPr>
          <w:rFonts w:hint="eastAsia" w:ascii="仿宋_GB2312" w:hAnsi="仿宋_GB2312" w:eastAsia="仿宋_GB2312" w:cs="仿宋_GB2312"/>
          <w:sz w:val="32"/>
          <w:szCs w:val="32"/>
          <w:highlight w:val="yellow"/>
          <w:lang w:val="en-US" w:eastAsia="zh-CN"/>
        </w:rPr>
        <w:t>开展业务培训，解读最新政策，以老带新，以训促改，推进工作落实。同时政务网站更新本单位政府信息公开指南，告知信息获取方式、公开受理机构的名称、办公地址、办公时间、联系电话、电子邮箱等。</w:t>
      </w:r>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（四）政府信息平台建设</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突出便利性、实用性、有效性，新设微信视频号、抖音号，不断创新信息公开的载体形式，拓宽信息公开广度。做好门户网站建设，按照《政府信息公开指南》《政府信息公开目录》等要求，及时将相关信息逐一网上发布。</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通过街道政务新媒体平台主动发布信息。2021年全年通过街道官方微信平台“春江印象”发稿</w:t>
      </w:r>
      <w:r>
        <w:rPr>
          <w:rFonts w:hint="eastAsia" w:ascii="仿宋_GB2312" w:hAnsi="仿宋_GB2312" w:eastAsia="仿宋_GB2312" w:cs="仿宋_GB2312"/>
          <w:sz w:val="32"/>
          <w:szCs w:val="32"/>
          <w:highlight w:val="none"/>
          <w:lang w:val="en-US" w:eastAsia="zh-CN"/>
        </w:rPr>
        <w:t>1006篇。同时，通过《富阳日报》《杭州日报》《浙江新闻》等媒体推介宣传单位工作动态，主动自觉接受社会舆论的监督，畅通群众监督的渠道，受到社会的公认和好评。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highlight w:val="yellow"/>
          <w:lang w:val="en-US" w:eastAsia="zh-CN"/>
        </w:rPr>
      </w:pPr>
      <w:r>
        <w:rPr>
          <w:rFonts w:hint="eastAsia" w:ascii="楷体" w:hAnsi="楷体" w:eastAsia="楷体" w:cs="楷体"/>
          <w:sz w:val="32"/>
          <w:szCs w:val="32"/>
          <w:highlight w:val="yellow"/>
          <w:lang w:val="en-US" w:eastAsia="zh-CN"/>
        </w:rPr>
        <w:t>（五）信息公开监督保障</w:t>
      </w:r>
    </w:p>
    <w:p>
      <w:pPr>
        <w:keepNext w:val="0"/>
        <w:keepLines w:val="0"/>
        <w:pageBreakBefore w:val="0"/>
        <w:kinsoku/>
        <w:wordWrap/>
        <w:overflowPunct/>
        <w:topLinePunct w:val="0"/>
        <w:autoSpaceDE/>
        <w:autoSpaceDN/>
        <w:bidi w:val="0"/>
        <w:adjustRightInd/>
        <w:snapToGrid/>
        <w:spacing w:line="580" w:lineRule="exact"/>
        <w:ind w:firstLine="640"/>
        <w:rPr>
          <w:rFonts w:hint="default"/>
          <w:highlight w:val="yellow"/>
          <w:lang w:val="en-US" w:eastAsia="zh-CN"/>
        </w:rPr>
      </w:pPr>
      <w:r>
        <w:rPr>
          <w:rFonts w:hint="eastAsia" w:ascii="仿宋_GB2312" w:hAnsi="仿宋_GB2312" w:eastAsia="仿宋_GB2312" w:cs="仿宋_GB2312"/>
          <w:b/>
          <w:bCs/>
          <w:sz w:val="32"/>
          <w:szCs w:val="32"/>
          <w:highlight w:val="yellow"/>
          <w:lang w:val="en-US" w:eastAsia="zh-CN"/>
        </w:rPr>
        <w:t>一是规范工作考核。</w:t>
      </w:r>
      <w:r>
        <w:rPr>
          <w:rFonts w:hint="eastAsia" w:ascii="仿宋_GB2312" w:hAnsi="仿宋_GB2312" w:eastAsia="仿宋_GB2312" w:cs="仿宋_GB2312"/>
          <w:b w:val="0"/>
          <w:bCs w:val="0"/>
          <w:sz w:val="32"/>
          <w:szCs w:val="32"/>
          <w:highlight w:val="yellow"/>
          <w:lang w:val="en-US" w:eastAsia="zh-CN"/>
        </w:rPr>
        <w:t>明确街道党工委副书记为政府信息公开工作分管领导，党政办主任为具体负责人，指定专人负责政府信息公开工作，并对其工作进行考核，确定政府信息公开相关工作职责和具体工作规范。</w:t>
      </w:r>
      <w:r>
        <w:rPr>
          <w:rFonts w:hint="eastAsia" w:ascii="仿宋_GB2312" w:hAnsi="仿宋_GB2312" w:eastAsia="仿宋_GB2312" w:cs="仿宋_GB2312"/>
          <w:b/>
          <w:bCs/>
          <w:sz w:val="32"/>
          <w:szCs w:val="32"/>
          <w:highlight w:val="yellow"/>
          <w:lang w:val="en-US" w:eastAsia="zh-CN"/>
        </w:rPr>
        <w:t>二是突出社会评议。</w:t>
      </w:r>
      <w:r>
        <w:rPr>
          <w:rFonts w:hint="eastAsia" w:ascii="仿宋_GB2312" w:hAnsi="仿宋_GB2312" w:eastAsia="仿宋_GB2312" w:cs="仿宋_GB2312"/>
          <w:sz w:val="32"/>
          <w:szCs w:val="32"/>
          <w:highlight w:val="yellow"/>
          <w:lang w:val="en-US" w:eastAsia="zh-CN"/>
        </w:rPr>
        <w:t>明确本机关行政负责人在议事代表会议上做政府信息公告工作相关内容报告，接受“两代表一委员”和议事会成员的审查。</w:t>
      </w:r>
      <w:r>
        <w:rPr>
          <w:rFonts w:hint="eastAsia" w:ascii="仿宋_GB2312" w:hAnsi="仿宋_GB2312" w:eastAsia="仿宋_GB2312" w:cs="仿宋_GB2312"/>
          <w:b/>
          <w:bCs/>
          <w:sz w:val="32"/>
          <w:szCs w:val="32"/>
          <w:highlight w:val="yellow"/>
          <w:lang w:val="en-US" w:eastAsia="zh-CN"/>
        </w:rPr>
        <w:t>三是强调责任追究。</w:t>
      </w:r>
      <w:r>
        <w:rPr>
          <w:rFonts w:hint="eastAsia" w:ascii="仿宋_GB2312" w:hAnsi="仿宋_GB2312" w:eastAsia="仿宋_GB2312" w:cs="仿宋_GB2312"/>
          <w:b w:val="0"/>
          <w:bCs w:val="0"/>
          <w:sz w:val="32"/>
          <w:szCs w:val="32"/>
          <w:highlight w:val="yellow"/>
          <w:lang w:val="en-US" w:eastAsia="zh-CN"/>
        </w:rPr>
        <w:t>密切关注公开的政府信息所带来的社会评价，采取责任追究的形式，确保政府信息公开的</w:t>
      </w:r>
      <w:r>
        <w:rPr>
          <w:rFonts w:hint="default" w:ascii="仿宋_GB2312" w:hAnsi="仿宋_GB2312" w:eastAsia="仿宋_GB2312" w:cs="仿宋_GB2312"/>
          <w:b w:val="0"/>
          <w:bCs w:val="0"/>
          <w:kern w:val="2"/>
          <w:sz w:val="32"/>
          <w:szCs w:val="32"/>
          <w:highlight w:val="yellow"/>
          <w:lang w:val="en-US" w:eastAsia="zh-CN" w:bidi="ar-SA"/>
        </w:rPr>
        <w:t>权威性、准确性以及及时性</w:t>
      </w:r>
      <w:r>
        <w:rPr>
          <w:rFonts w:hint="eastAsia" w:ascii="仿宋_GB2312" w:hAnsi="仿宋_GB2312" w:eastAsia="仿宋_GB2312" w:cs="仿宋_GB2312"/>
          <w:b w:val="0"/>
          <w:bCs w:val="0"/>
          <w:sz w:val="32"/>
          <w:szCs w:val="32"/>
          <w:highlight w:val="yellow"/>
          <w:lang w:val="en-US" w:eastAsia="zh-CN"/>
        </w:rPr>
        <w:t>。2021年本单位未发生政府信息公开工作责任追究情况。</w:t>
      </w:r>
    </w:p>
    <w:p>
      <w:pPr>
        <w:keepNext w:val="0"/>
        <w:keepLines w:val="0"/>
        <w:pageBreakBefore w:val="0"/>
        <w:kinsoku/>
        <w:wordWrap/>
        <w:overflowPunct/>
        <w:topLinePunct w:val="0"/>
        <w:autoSpaceDE/>
        <w:autoSpaceDN/>
        <w:bidi w:val="0"/>
        <w:adjustRightInd/>
        <w:snapToGrid/>
        <w:spacing w:line="580" w:lineRule="exact"/>
        <w:ind w:firstLine="640"/>
        <w:rPr>
          <w:rFonts w:ascii="黑体" w:hAnsi="黑体" w:eastAsia="黑体" w:cs="黑体"/>
          <w:sz w:val="32"/>
          <w:szCs w:val="32"/>
          <w:highlight w:val="none"/>
        </w:rPr>
      </w:pPr>
      <w:r>
        <w:rPr>
          <w:rFonts w:hint="eastAsia" w:ascii="黑体" w:hAnsi="黑体" w:eastAsia="黑体" w:cs="黑体"/>
          <w:sz w:val="32"/>
          <w:szCs w:val="32"/>
          <w:highlight w:val="none"/>
        </w:rPr>
        <w:t>二、主动公开政府信息情况</w:t>
      </w:r>
    </w:p>
    <w:tbl>
      <w:tblPr>
        <w:tblStyle w:val="3"/>
        <w:tblW w:w="9185" w:type="dxa"/>
        <w:tblInd w:w="0" w:type="dxa"/>
        <w:tblLayout w:type="fixed"/>
        <w:tblCellMar>
          <w:top w:w="0" w:type="dxa"/>
          <w:left w:w="0" w:type="dxa"/>
          <w:bottom w:w="0" w:type="dxa"/>
          <w:right w:w="0" w:type="dxa"/>
        </w:tblCellMar>
      </w:tblPr>
      <w:tblGrid>
        <w:gridCol w:w="2630"/>
        <w:gridCol w:w="2295"/>
        <w:gridCol w:w="2010"/>
        <w:gridCol w:w="2250"/>
      </w:tblGrid>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第二十条第（一）项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信息内容</w:t>
            </w:r>
          </w:p>
        </w:tc>
        <w:tc>
          <w:tcPr>
            <w:tcW w:w="22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highlight w:val="none"/>
                <w:lang w:eastAsia="zh-CN"/>
              </w:rPr>
            </w:pPr>
            <w:r>
              <w:rPr>
                <w:rFonts w:hint="eastAsia" w:ascii="方正小标宋简体" w:hAnsi="方正小标宋简体" w:eastAsia="方正小标宋简体" w:cs="方正小标宋简体"/>
                <w:color w:val="000000"/>
                <w:kern w:val="0"/>
                <w:sz w:val="24"/>
                <w:highlight w:val="none"/>
                <w:lang w:eastAsia="zh-CN"/>
              </w:rPr>
              <w:t>本年制发件数</w:t>
            </w:r>
          </w:p>
        </w:tc>
        <w:tc>
          <w:tcPr>
            <w:tcW w:w="20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highlight w:val="none"/>
                <w:lang w:eastAsia="zh-CN"/>
              </w:rPr>
            </w:pPr>
            <w:r>
              <w:rPr>
                <w:rFonts w:hint="eastAsia" w:ascii="方正小标宋简体" w:hAnsi="方正小标宋简体" w:eastAsia="方正小标宋简体" w:cs="方正小标宋简体"/>
                <w:color w:val="000000"/>
                <w:kern w:val="0"/>
                <w:sz w:val="24"/>
                <w:highlight w:val="none"/>
                <w:lang w:eastAsia="zh-CN"/>
              </w:rPr>
              <w:t>本年废止件数</w:t>
            </w:r>
          </w:p>
        </w:tc>
        <w:tc>
          <w:tcPr>
            <w:tcW w:w="22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highlight w:val="none"/>
                <w:lang w:eastAsia="zh-CN"/>
              </w:rPr>
            </w:pPr>
            <w:r>
              <w:rPr>
                <w:rFonts w:hint="eastAsia" w:ascii="方正小标宋简体" w:hAnsi="方正小标宋简体" w:eastAsia="方正小标宋简体" w:cs="方正小标宋简体"/>
                <w:color w:val="000000"/>
                <w:kern w:val="0"/>
                <w:sz w:val="24"/>
                <w:highlight w:val="none"/>
                <w:lang w:eastAsia="zh-CN"/>
              </w:rPr>
              <w:t>现行有效件数</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规章</w:t>
            </w:r>
          </w:p>
        </w:tc>
        <w:tc>
          <w:tcPr>
            <w:tcW w:w="22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highlight w:val="none"/>
                <w:lang w:val="en-US" w:eastAsia="zh-CN"/>
              </w:rPr>
            </w:pPr>
            <w:r>
              <w:rPr>
                <w:rFonts w:hint="eastAsia" w:ascii="方正小标宋简体" w:hAnsi="方正小标宋简体" w:eastAsia="方正小标宋简体" w:cs="方正小标宋简体"/>
                <w:color w:val="000000"/>
                <w:sz w:val="24"/>
                <w:highlight w:val="none"/>
                <w:lang w:val="en-US" w:eastAsia="zh-CN"/>
              </w:rPr>
              <w:t>0</w:t>
            </w:r>
          </w:p>
        </w:tc>
        <w:tc>
          <w:tcPr>
            <w:tcW w:w="20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sz w:val="24"/>
                <w:highlight w:val="none"/>
                <w:lang w:val="en-US" w:eastAsia="zh-CN"/>
              </w:rPr>
              <w:t>0</w:t>
            </w:r>
          </w:p>
        </w:tc>
        <w:tc>
          <w:tcPr>
            <w:tcW w:w="22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sz w:val="24"/>
                <w:highlight w:val="none"/>
                <w:lang w:val="en-US" w:eastAsia="zh-CN"/>
              </w:rPr>
              <w:t>0</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lang w:eastAsia="zh-CN"/>
              </w:rPr>
              <w:t>行政</w:t>
            </w:r>
            <w:r>
              <w:rPr>
                <w:rFonts w:hint="eastAsia" w:ascii="方正小标宋简体" w:hAnsi="方正小标宋简体" w:eastAsia="方正小标宋简体" w:cs="方正小标宋简体"/>
                <w:color w:val="000000"/>
                <w:kern w:val="0"/>
                <w:sz w:val="24"/>
                <w:highlight w:val="none"/>
              </w:rPr>
              <w:t>规范性文件</w:t>
            </w:r>
          </w:p>
        </w:tc>
        <w:tc>
          <w:tcPr>
            <w:tcW w:w="22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sz w:val="24"/>
                <w:highlight w:val="none"/>
                <w:lang w:val="en-US" w:eastAsia="zh-CN"/>
              </w:rPr>
              <w:t>0</w:t>
            </w:r>
          </w:p>
        </w:tc>
        <w:tc>
          <w:tcPr>
            <w:tcW w:w="20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sz w:val="24"/>
                <w:highlight w:val="none"/>
                <w:lang w:val="en-US" w:eastAsia="zh-CN"/>
              </w:rPr>
              <w:t>0</w:t>
            </w:r>
          </w:p>
        </w:tc>
        <w:tc>
          <w:tcPr>
            <w:tcW w:w="22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sz w:val="24"/>
                <w:highlight w:val="none"/>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第二十条第（五）项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信息内容</w:t>
            </w:r>
          </w:p>
        </w:tc>
        <w:tc>
          <w:tcPr>
            <w:tcW w:w="655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highlight w:val="none"/>
                <w:lang w:eastAsia="zh-CN"/>
              </w:rPr>
            </w:pPr>
            <w:r>
              <w:rPr>
                <w:rFonts w:hint="eastAsia" w:ascii="方正小标宋简体" w:hAnsi="方正小标宋简体" w:eastAsia="方正小标宋简体" w:cs="方正小标宋简体"/>
                <w:color w:val="000000"/>
                <w:sz w:val="24"/>
                <w:highlight w:val="none"/>
                <w:lang w:eastAsia="zh-CN"/>
              </w:rPr>
              <w:t>本年处理决定数量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行政许可</w:t>
            </w:r>
          </w:p>
        </w:tc>
        <w:tc>
          <w:tcPr>
            <w:tcW w:w="655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highlight w:val="none"/>
                <w:lang w:val="en-US" w:eastAsia="zh-CN"/>
              </w:rPr>
            </w:pPr>
            <w:r>
              <w:rPr>
                <w:rFonts w:hint="eastAsia" w:ascii="方正小标宋简体" w:hAnsi="方正小标宋简体" w:eastAsia="方正小标宋简体" w:cs="方正小标宋简体"/>
                <w:color w:val="000000"/>
                <w:sz w:val="24"/>
                <w:highlight w:val="none"/>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第二十条第（六）项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信息内容</w:t>
            </w:r>
          </w:p>
        </w:tc>
        <w:tc>
          <w:tcPr>
            <w:tcW w:w="655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highlight w:val="none"/>
                <w:lang w:eastAsia="zh-CN"/>
              </w:rPr>
            </w:pPr>
            <w:r>
              <w:rPr>
                <w:rFonts w:hint="eastAsia" w:ascii="方正小标宋简体" w:hAnsi="方正小标宋简体" w:eastAsia="方正小标宋简体" w:cs="方正小标宋简体"/>
                <w:color w:val="000000"/>
                <w:sz w:val="24"/>
                <w:highlight w:val="none"/>
                <w:lang w:eastAsia="zh-CN"/>
              </w:rPr>
              <w:t>本年处理决定数量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行政处罚</w:t>
            </w:r>
          </w:p>
        </w:tc>
        <w:tc>
          <w:tcPr>
            <w:tcW w:w="655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highlight w:val="none"/>
                <w:lang w:val="en-US" w:eastAsia="zh-CN"/>
              </w:rPr>
            </w:pPr>
            <w:r>
              <w:rPr>
                <w:rFonts w:hint="eastAsia" w:ascii="方正小标宋简体" w:hAnsi="方正小标宋简体" w:eastAsia="方正小标宋简体" w:cs="方正小标宋简体"/>
                <w:color w:val="000000"/>
                <w:sz w:val="24"/>
                <w:highlight w:val="none"/>
                <w:lang w:val="en-US" w:eastAsia="zh-CN"/>
              </w:rPr>
              <w:t>0</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行政强制</w:t>
            </w:r>
          </w:p>
        </w:tc>
        <w:tc>
          <w:tcPr>
            <w:tcW w:w="655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highlight w:val="none"/>
                <w:lang w:val="en-US" w:eastAsia="zh-CN"/>
              </w:rPr>
            </w:pPr>
            <w:r>
              <w:rPr>
                <w:rFonts w:hint="eastAsia" w:ascii="方正小标宋简体" w:hAnsi="方正小标宋简体" w:eastAsia="方正小标宋简体" w:cs="方正小标宋简体"/>
                <w:color w:val="000000"/>
                <w:sz w:val="24"/>
                <w:highlight w:val="none"/>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第二十条第（八）项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信息内容</w:t>
            </w:r>
          </w:p>
        </w:tc>
        <w:tc>
          <w:tcPr>
            <w:tcW w:w="655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sz w:val="24"/>
                <w:highlight w:val="none"/>
                <w:lang w:eastAsia="zh-CN"/>
              </w:rPr>
            </w:pPr>
            <w:r>
              <w:rPr>
                <w:rFonts w:hint="eastAsia" w:ascii="方正小标宋简体" w:hAnsi="方正小标宋简体" w:eastAsia="方正小标宋简体" w:cs="方正小标宋简体"/>
                <w:color w:val="000000"/>
                <w:sz w:val="24"/>
                <w:highlight w:val="none"/>
                <w:lang w:eastAsia="zh-CN"/>
              </w:rPr>
              <w:t>本年收费金额（单位：万元）</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行政事业性收费</w:t>
            </w:r>
          </w:p>
        </w:tc>
        <w:tc>
          <w:tcPr>
            <w:tcW w:w="655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方正小标宋简体" w:hAnsi="方正小标宋简体" w:eastAsia="方正小标宋简体" w:cs="方正小标宋简体"/>
                <w:color w:val="000000"/>
                <w:sz w:val="24"/>
                <w:highlight w:val="none"/>
                <w:lang w:val="en-US" w:eastAsia="zh-CN"/>
              </w:rPr>
            </w:pPr>
            <w:r>
              <w:rPr>
                <w:rFonts w:hint="eastAsia" w:ascii="方正小标宋简体" w:hAnsi="方正小标宋简体" w:eastAsia="方正小标宋简体" w:cs="方正小标宋简体"/>
                <w:color w:val="000000"/>
                <w:sz w:val="24"/>
                <w:highlight w:val="none"/>
                <w:lang w:val="en-US" w:eastAsia="zh-CN"/>
              </w:rPr>
              <w:t>0</w:t>
            </w:r>
          </w:p>
        </w:tc>
      </w:tr>
    </w:tbl>
    <w:p>
      <w:pPr>
        <w:keepNext w:val="0"/>
        <w:keepLines w:val="0"/>
        <w:pageBreakBefore w:val="0"/>
        <w:kinsoku/>
        <w:wordWrap/>
        <w:overflowPunct/>
        <w:topLinePunct w:val="0"/>
        <w:autoSpaceDE/>
        <w:autoSpaceDN/>
        <w:bidi w:val="0"/>
        <w:adjustRightInd/>
        <w:snapToGrid/>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三、收到和处理政府信息公开申请情况</w:t>
      </w:r>
    </w:p>
    <w:tbl>
      <w:tblPr>
        <w:tblStyle w:val="3"/>
        <w:tblW w:w="9215" w:type="dxa"/>
        <w:tblInd w:w="0" w:type="dxa"/>
        <w:tblLayout w:type="fixed"/>
        <w:tblCellMar>
          <w:top w:w="0" w:type="dxa"/>
          <w:left w:w="0" w:type="dxa"/>
          <w:bottom w:w="0" w:type="dxa"/>
          <w:right w:w="0" w:type="dxa"/>
        </w:tblCellMar>
      </w:tblPr>
      <w:tblGrid>
        <w:gridCol w:w="570"/>
        <w:gridCol w:w="1130"/>
        <w:gridCol w:w="3045"/>
        <w:gridCol w:w="810"/>
        <w:gridCol w:w="630"/>
        <w:gridCol w:w="600"/>
        <w:gridCol w:w="570"/>
        <w:gridCol w:w="660"/>
        <w:gridCol w:w="600"/>
        <w:gridCol w:w="600"/>
      </w:tblGrid>
      <w:tr>
        <w:tblPrEx>
          <w:tblCellMar>
            <w:top w:w="0" w:type="dxa"/>
            <w:left w:w="0" w:type="dxa"/>
            <w:bottom w:w="0" w:type="dxa"/>
            <w:right w:w="0" w:type="dxa"/>
          </w:tblCellMar>
        </w:tblPrEx>
        <w:trPr>
          <w:trHeight w:val="680" w:hRule="atLeast"/>
        </w:trPr>
        <w:tc>
          <w:tcPr>
            <w:tcW w:w="474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（本列数据的勾稽关系为：第一项加第二项之和，等于第三项加第四项之和）</w:t>
            </w:r>
          </w:p>
        </w:tc>
        <w:tc>
          <w:tcPr>
            <w:tcW w:w="447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申请人情况</w:t>
            </w:r>
          </w:p>
        </w:tc>
      </w:tr>
      <w:tr>
        <w:tblPrEx>
          <w:tblCellMar>
            <w:top w:w="0" w:type="dxa"/>
            <w:left w:w="0" w:type="dxa"/>
            <w:bottom w:w="0" w:type="dxa"/>
            <w:right w:w="0" w:type="dxa"/>
          </w:tblCellMar>
        </w:tblPrEx>
        <w:trPr>
          <w:trHeight w:val="360" w:hRule="atLeast"/>
        </w:trPr>
        <w:tc>
          <w:tcPr>
            <w:tcW w:w="474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color w:val="000000"/>
                <w:sz w:val="24"/>
                <w:highlight w:val="none"/>
              </w:rPr>
            </w:pPr>
          </w:p>
        </w:tc>
        <w:tc>
          <w:tcPr>
            <w:tcW w:w="8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自然人</w:t>
            </w:r>
          </w:p>
        </w:tc>
        <w:tc>
          <w:tcPr>
            <w:tcW w:w="30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法人或其他组织</w:t>
            </w: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总计</w:t>
            </w:r>
          </w:p>
        </w:tc>
      </w:tr>
      <w:tr>
        <w:tblPrEx>
          <w:tblCellMar>
            <w:top w:w="0" w:type="dxa"/>
            <w:left w:w="0" w:type="dxa"/>
            <w:bottom w:w="0" w:type="dxa"/>
            <w:right w:w="0" w:type="dxa"/>
          </w:tblCellMar>
        </w:tblPrEx>
        <w:trPr>
          <w:trHeight w:val="1040" w:hRule="atLeast"/>
        </w:trPr>
        <w:tc>
          <w:tcPr>
            <w:tcW w:w="474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color w:val="000000"/>
                <w:sz w:val="24"/>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color w:val="000000"/>
                <w:sz w:val="24"/>
                <w:highlight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商业企业</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科研机构</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社会公益组织</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法律服务机构</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其他</w:t>
            </w: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color w:val="000000"/>
                <w:sz w:val="24"/>
                <w:highlight w:val="none"/>
              </w:rPr>
            </w:pPr>
          </w:p>
        </w:tc>
      </w:tr>
      <w:tr>
        <w:tblPrEx>
          <w:tblCellMar>
            <w:top w:w="0" w:type="dxa"/>
            <w:left w:w="0" w:type="dxa"/>
            <w:bottom w:w="0" w:type="dxa"/>
            <w:right w:w="0" w:type="dxa"/>
          </w:tblCellMar>
        </w:tblPrEx>
        <w:trPr>
          <w:trHeight w:val="600" w:hRule="atLeast"/>
        </w:trPr>
        <w:tc>
          <w:tcPr>
            <w:tcW w:w="47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一、本年新收政府信息公开申请数量</w:t>
            </w:r>
          </w:p>
        </w:tc>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sz w:val="24"/>
                <w:highlight w:val="none"/>
                <w:lang w:val="en-US" w:eastAsia="zh-CN"/>
              </w:rPr>
              <w:t>0</w:t>
            </w:r>
          </w:p>
        </w:tc>
        <w:tc>
          <w:tcPr>
            <w:tcW w:w="6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00" w:hRule="atLeast"/>
        </w:trPr>
        <w:tc>
          <w:tcPr>
            <w:tcW w:w="47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二、上年结转政府信息公开申请数量</w:t>
            </w:r>
          </w:p>
        </w:tc>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eastAsia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sz w:val="24"/>
                <w:highlight w:val="none"/>
                <w:lang w:val="en-US" w:eastAsia="zh-CN"/>
              </w:rPr>
              <w:t>0</w:t>
            </w:r>
          </w:p>
        </w:tc>
        <w:tc>
          <w:tcPr>
            <w:tcW w:w="6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360" w:hRule="atLeast"/>
        </w:trPr>
        <w:tc>
          <w:tcPr>
            <w:tcW w:w="57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三、本年度办理结果</w:t>
            </w:r>
          </w:p>
        </w:tc>
        <w:tc>
          <w:tcPr>
            <w:tcW w:w="4175"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（一）予以公开</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41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（二）部分公开（区分处理的，只计这一情形，不计其他情形）</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（三）不予公开</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1.属于国家秘密</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2.其他法律行政法规禁止公开</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58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3.危及“三安全一稳定”</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58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4.保护第三方合法权益</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5.属于三类内部事务信息</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6.属于四类过程性信息</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7.属于行政执法案卷</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8.属于行政查询事项</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774"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（四）无法提供</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1.本机关不掌握相关政府信息</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915"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2.没有现成信息需要另行制作</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76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3.补正后申请内容仍不明确</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12"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（五）不予处理</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1.信访举报投诉类申请</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3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2.重复申请</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3.要求提供公开出版物</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4.无正当理由大量反复申请</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795"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5.要求行政机关确认或重新出具已获取信息</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213"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113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（六）其他处理</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楷体" w:hAnsi="楷体" w:eastAsia="楷体" w:cs="楷体"/>
                <w:color w:val="000000"/>
                <w:kern w:val="0"/>
                <w:sz w:val="24"/>
                <w:highlight w:val="none"/>
                <w:lang w:val="en-US" w:eastAsia="zh-CN"/>
              </w:rPr>
            </w:pPr>
            <w:r>
              <w:rPr>
                <w:rFonts w:hint="eastAsia" w:ascii="楷体" w:hAnsi="楷体" w:eastAsia="楷体" w:cs="楷体"/>
                <w:color w:val="000000"/>
                <w:kern w:val="0"/>
                <w:sz w:val="24"/>
                <w:highlight w:val="none"/>
                <w:lang w:val="en-US" w:eastAsia="zh-CN"/>
              </w:rPr>
              <w:t>1.申请人无正当理由逾期不补正、行政机关不再处理其政府信息公开申请</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213"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highlight w:val="none"/>
              </w:rPr>
            </w:pPr>
          </w:p>
        </w:tc>
        <w:tc>
          <w:tcPr>
            <w:tcW w:w="113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left"/>
              <w:textAlignment w:val="center"/>
              <w:rPr>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楷体" w:hAnsi="楷体" w:eastAsia="楷体" w:cs="楷体"/>
                <w:color w:val="000000"/>
                <w:kern w:val="0"/>
                <w:sz w:val="24"/>
                <w:highlight w:val="none"/>
                <w:lang w:val="en-US" w:eastAsia="zh-CN"/>
              </w:rPr>
            </w:pPr>
            <w:r>
              <w:rPr>
                <w:rFonts w:hint="eastAsia" w:ascii="楷体" w:hAnsi="楷体" w:eastAsia="楷体" w:cs="楷体"/>
                <w:color w:val="000000"/>
                <w:kern w:val="0"/>
                <w:sz w:val="24"/>
                <w:highlight w:val="none"/>
                <w:lang w:val="en-US" w:eastAsia="zh-CN"/>
              </w:rPr>
              <w:t>2.申请人逾期未按收费通知要求缴纳费用、行政机关不再处理其政府信息公开申请</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cstheme="minorEastAsia"/>
                <w:color w:val="000000"/>
                <w:kern w:val="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cstheme="minorEastAsia"/>
                <w:color w:val="000000"/>
                <w:kern w:val="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cstheme="minorEastAsia"/>
                <w:color w:val="000000"/>
                <w:kern w:val="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cstheme="minorEastAsia"/>
                <w:color w:val="000000"/>
                <w:kern w:val="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cstheme="minorEastAsia"/>
                <w:color w:val="000000"/>
                <w:kern w:val="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cstheme="minorEastAsia"/>
                <w:color w:val="000000"/>
                <w:kern w:val="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cstheme="minorEastAsia"/>
                <w:color w:val="000000"/>
                <w:kern w:val="0"/>
                <w:sz w:val="24"/>
                <w:highlight w:val="none"/>
                <w:lang w:val="en-US" w:eastAsia="zh-CN"/>
              </w:rPr>
              <w:t>0</w:t>
            </w:r>
          </w:p>
        </w:tc>
      </w:tr>
      <w:tr>
        <w:tblPrEx>
          <w:tblCellMar>
            <w:top w:w="0" w:type="dxa"/>
            <w:left w:w="0" w:type="dxa"/>
            <w:bottom w:w="0" w:type="dxa"/>
            <w:right w:w="0" w:type="dxa"/>
          </w:tblCellMar>
        </w:tblPrEx>
        <w:trPr>
          <w:trHeight w:val="213" w:hRule="atLeast"/>
        </w:trPr>
        <w:tc>
          <w:tcPr>
            <w:tcW w:w="57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楷体" w:hAnsi="楷体" w:eastAsia="楷体" w:cs="楷体"/>
                <w:color w:val="000000"/>
                <w:kern w:val="0"/>
                <w:sz w:val="24"/>
                <w:highlight w:val="none"/>
              </w:rPr>
            </w:pPr>
          </w:p>
        </w:tc>
        <w:tc>
          <w:tcPr>
            <w:tcW w:w="113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楷体" w:hAnsi="楷体" w:eastAsia="楷体" w:cs="楷体"/>
                <w:color w:val="000000"/>
                <w:kern w:val="0"/>
                <w:sz w:val="24"/>
                <w:highlight w:val="none"/>
              </w:rPr>
            </w:pP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楷体" w:hAnsi="楷体" w:eastAsia="楷体" w:cs="楷体"/>
                <w:color w:val="000000"/>
                <w:kern w:val="0"/>
                <w:sz w:val="24"/>
                <w:highlight w:val="none"/>
                <w:lang w:val="en-US" w:eastAsia="zh-CN"/>
              </w:rPr>
            </w:pPr>
            <w:r>
              <w:rPr>
                <w:rFonts w:hint="eastAsia" w:ascii="楷体" w:hAnsi="楷体" w:eastAsia="楷体" w:cs="楷体"/>
                <w:color w:val="000000"/>
                <w:kern w:val="0"/>
                <w:sz w:val="24"/>
                <w:highlight w:val="none"/>
                <w:lang w:val="en-US" w:eastAsia="zh-CN"/>
              </w:rPr>
              <w:t>3.其他</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cstheme="minorEastAsia"/>
                <w:color w:val="000000"/>
                <w:kern w:val="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cstheme="minorEastAsia"/>
                <w:color w:val="000000"/>
                <w:kern w:val="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cstheme="minorEastAsia"/>
                <w:color w:val="000000"/>
                <w:kern w:val="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cstheme="minorEastAsia"/>
                <w:color w:val="000000"/>
                <w:kern w:val="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szCs w:val="24"/>
                <w:highlight w:val="none"/>
                <w:lang w:val="en-US" w:eastAsia="zh-CN" w:bidi="ar-SA"/>
              </w:rPr>
            </w:pPr>
            <w:r>
              <w:rPr>
                <w:rFonts w:hint="eastAsia" w:asciiTheme="minorEastAsia" w:hAnsiTheme="minorEastAsia" w:cstheme="minorEastAsia"/>
                <w:color w:val="000000"/>
                <w:kern w:val="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cstheme="minorEastAsia"/>
                <w:color w:val="000000"/>
                <w:kern w:val="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4"/>
                <w:highlight w:val="none"/>
                <w:lang w:val="en-US" w:eastAsia="zh-CN"/>
              </w:rPr>
            </w:pPr>
            <w:r>
              <w:rPr>
                <w:rFonts w:hint="eastAsia" w:asciiTheme="minorEastAsia" w:hAnsiTheme="minorEastAsia" w:cstheme="minorEastAsia"/>
                <w:color w:val="000000"/>
                <w:kern w:val="0"/>
                <w:sz w:val="24"/>
                <w:highlight w:val="none"/>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 w:hAnsi="楷体" w:eastAsia="楷体" w:cs="楷体"/>
                <w:color w:val="000000"/>
                <w:sz w:val="24"/>
                <w:highlight w:val="none"/>
              </w:rPr>
            </w:pPr>
          </w:p>
        </w:tc>
        <w:tc>
          <w:tcPr>
            <w:tcW w:w="41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楷体" w:hAnsi="楷体" w:eastAsia="楷体" w:cs="楷体"/>
                <w:color w:val="000000"/>
                <w:sz w:val="24"/>
                <w:highlight w:val="none"/>
              </w:rPr>
            </w:pPr>
            <w:r>
              <w:rPr>
                <w:rFonts w:hint="eastAsia" w:ascii="楷体" w:hAnsi="楷体" w:eastAsia="楷体" w:cs="楷体"/>
                <w:color w:val="000000"/>
                <w:kern w:val="0"/>
                <w:sz w:val="24"/>
                <w:highlight w:val="none"/>
              </w:rPr>
              <w:t>（七）总计</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r>
      <w:tr>
        <w:tblPrEx>
          <w:tblCellMar>
            <w:top w:w="0" w:type="dxa"/>
            <w:left w:w="0" w:type="dxa"/>
            <w:bottom w:w="0" w:type="dxa"/>
            <w:right w:w="0" w:type="dxa"/>
          </w:tblCellMar>
        </w:tblPrEx>
        <w:trPr>
          <w:trHeight w:val="360" w:hRule="atLeast"/>
        </w:trPr>
        <w:tc>
          <w:tcPr>
            <w:tcW w:w="47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240" w:firstLineChars="100"/>
              <w:jc w:val="left"/>
              <w:textAlignment w:val="center"/>
              <w:rPr>
                <w:rFonts w:ascii="方正小标宋简体" w:hAnsi="方正小标宋简体" w:eastAsia="方正小标宋简体" w:cs="方正小标宋简体"/>
                <w:color w:val="000000"/>
                <w:sz w:val="24"/>
                <w:highlight w:val="none"/>
              </w:rPr>
            </w:pPr>
            <w:r>
              <w:rPr>
                <w:rFonts w:hint="eastAsia" w:ascii="方正小标宋简体" w:hAnsi="方正小标宋简体" w:eastAsia="方正小标宋简体" w:cs="方正小标宋简体"/>
                <w:color w:val="000000"/>
                <w:kern w:val="0"/>
                <w:sz w:val="24"/>
                <w:highlight w:val="none"/>
              </w:rPr>
              <w:t>四、结转下年度继续办理</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highlight w:val="none"/>
                <w:lang w:val="en-US" w:eastAsia="zh-CN"/>
              </w:rPr>
            </w:pPr>
            <w:r>
              <w:rPr>
                <w:rFonts w:hint="eastAsia" w:asciiTheme="minorEastAsia" w:hAnsiTheme="minorEastAsia" w:cstheme="minorEastAsia"/>
                <w:color w:val="000000"/>
                <w:sz w:val="24"/>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cstheme="minorEastAsia"/>
                <w:color w:val="000000"/>
                <w:sz w:val="24"/>
                <w:highlight w:val="none"/>
                <w:lang w:val="en-US" w:eastAsia="zh-CN"/>
              </w:rPr>
              <w:t>0</w:t>
            </w:r>
          </w:p>
        </w:tc>
      </w:tr>
    </w:tbl>
    <w:p>
      <w:pPr>
        <w:keepNext w:val="0"/>
        <w:keepLines w:val="0"/>
        <w:pageBreakBefore w:val="0"/>
        <w:kinsoku/>
        <w:wordWrap/>
        <w:overflowPunct/>
        <w:topLinePunct w:val="0"/>
        <w:autoSpaceDE/>
        <w:autoSpaceDN/>
        <w:bidi w:val="0"/>
        <w:adjustRightInd/>
        <w:snapToGrid/>
        <w:spacing w:line="580" w:lineRule="exact"/>
        <w:ind w:firstLine="640" w:firstLineChars="200"/>
        <w:contextualSpacing/>
        <w:rPr>
          <w:rFonts w:ascii="黑体" w:hAnsi="黑体" w:eastAsia="黑体" w:cs="黑体"/>
          <w:sz w:val="32"/>
          <w:szCs w:val="32"/>
          <w:highlight w:val="none"/>
        </w:rPr>
      </w:pPr>
      <w:r>
        <w:rPr>
          <w:rFonts w:hint="eastAsia" w:ascii="黑体" w:hAnsi="黑体" w:eastAsia="黑体" w:cs="黑体"/>
          <w:sz w:val="32"/>
          <w:szCs w:val="32"/>
          <w:highlight w:val="none"/>
        </w:rPr>
        <w:t>四、政府信息公开行政复议、行政诉讼情况</w:t>
      </w:r>
    </w:p>
    <w:tbl>
      <w:tblPr>
        <w:tblStyle w:val="3"/>
        <w:tblW w:w="9230" w:type="dxa"/>
        <w:tblInd w:w="0" w:type="dxa"/>
        <w:tblLayout w:type="fixed"/>
        <w:tblCellMar>
          <w:top w:w="0" w:type="dxa"/>
          <w:left w:w="0" w:type="dxa"/>
          <w:bottom w:w="0" w:type="dxa"/>
          <w:right w:w="0" w:type="dxa"/>
        </w:tblCellMar>
      </w:tblPr>
      <w:tblGrid>
        <w:gridCol w:w="570"/>
        <w:gridCol w:w="615"/>
        <w:gridCol w:w="630"/>
        <w:gridCol w:w="675"/>
        <w:gridCol w:w="830"/>
        <w:gridCol w:w="525"/>
        <w:gridCol w:w="615"/>
        <w:gridCol w:w="570"/>
        <w:gridCol w:w="555"/>
        <w:gridCol w:w="660"/>
        <w:gridCol w:w="615"/>
        <w:gridCol w:w="555"/>
        <w:gridCol w:w="510"/>
        <w:gridCol w:w="570"/>
        <w:gridCol w:w="735"/>
      </w:tblGrid>
      <w:tr>
        <w:tblPrEx>
          <w:tblCellMar>
            <w:top w:w="0" w:type="dxa"/>
            <w:left w:w="0" w:type="dxa"/>
            <w:bottom w:w="0" w:type="dxa"/>
            <w:right w:w="0" w:type="dxa"/>
          </w:tblCellMar>
        </w:tblPrEx>
        <w:trPr>
          <w:trHeight w:val="360" w:hRule="atLeast"/>
        </w:trPr>
        <w:tc>
          <w:tcPr>
            <w:tcW w:w="332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行政复议</w:t>
            </w:r>
          </w:p>
        </w:tc>
        <w:tc>
          <w:tcPr>
            <w:tcW w:w="591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行政诉讼</w:t>
            </w:r>
          </w:p>
        </w:tc>
      </w:tr>
      <w:tr>
        <w:tblPrEx>
          <w:tblCellMar>
            <w:top w:w="0" w:type="dxa"/>
            <w:left w:w="0" w:type="dxa"/>
            <w:bottom w:w="0" w:type="dxa"/>
            <w:right w:w="0" w:type="dxa"/>
          </w:tblCellMar>
        </w:tblPrEx>
        <w:trPr>
          <w:trHeight w:val="780" w:hRule="atLeast"/>
        </w:trPr>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结果维持</w:t>
            </w:r>
          </w:p>
        </w:tc>
        <w:tc>
          <w:tcPr>
            <w:tcW w:w="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结果纠正</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其他结果</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尚未审结</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总计</w:t>
            </w:r>
          </w:p>
        </w:tc>
        <w:tc>
          <w:tcPr>
            <w:tcW w:w="292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未经复议直接起诉</w:t>
            </w:r>
          </w:p>
        </w:tc>
        <w:tc>
          <w:tcPr>
            <w:tcW w:w="29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复议后起诉</w:t>
            </w:r>
          </w:p>
        </w:tc>
      </w:tr>
      <w:tr>
        <w:tblPrEx>
          <w:tblCellMar>
            <w:top w:w="0" w:type="dxa"/>
            <w:left w:w="0" w:type="dxa"/>
            <w:bottom w:w="0" w:type="dxa"/>
            <w:right w:w="0" w:type="dxa"/>
          </w:tblCellMar>
        </w:tblPrEx>
        <w:trPr>
          <w:trHeight w:val="780" w:hRule="atLeast"/>
        </w:trPr>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highlight w:val="none"/>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highlight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highlight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highlight w:val="none"/>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小标宋简体" w:hAnsi="方正小标宋简体" w:eastAsia="方正小标宋简体" w:cs="方正小标宋简体"/>
                <w:bCs/>
                <w:color w:val="000000"/>
                <w:sz w:val="24"/>
                <w:highlight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结果维持</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结果纠正</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其他结果</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尚未审结</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总计</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结果维持</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结果纠正</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其他结果</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尚未审结</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Cs/>
                <w:color w:val="000000"/>
                <w:sz w:val="24"/>
                <w:highlight w:val="none"/>
              </w:rPr>
            </w:pPr>
            <w:r>
              <w:rPr>
                <w:rFonts w:hint="eastAsia" w:ascii="方正小标宋简体" w:hAnsi="方正小标宋简体" w:eastAsia="方正小标宋简体" w:cs="方正小标宋简体"/>
                <w:bCs/>
                <w:color w:val="000000"/>
                <w:kern w:val="0"/>
                <w:sz w:val="24"/>
                <w:highlight w:val="none"/>
              </w:rPr>
              <w:t>总计</w:t>
            </w:r>
          </w:p>
        </w:tc>
      </w:tr>
      <w:tr>
        <w:tblPrEx>
          <w:tblCellMar>
            <w:top w:w="0" w:type="dxa"/>
            <w:left w:w="0" w:type="dxa"/>
            <w:bottom w:w="0" w:type="dxa"/>
            <w:right w:w="0" w:type="dxa"/>
          </w:tblCellMar>
        </w:tblPrEx>
        <w:trPr>
          <w:trHeight w:val="885"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w:t>
            </w:r>
          </w:p>
        </w:tc>
      </w:tr>
    </w:tbl>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contextualSpacing/>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存在的主要问题及改进情况</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contextualSpacing/>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2021年，春江街道的政府信息公开工作取得一定成效，但仍存在一定的困难和问题，具体情况如下：</w:t>
      </w:r>
    </w:p>
    <w:p>
      <w:pPr>
        <w:keepNext w:val="0"/>
        <w:keepLines w:val="0"/>
        <w:pageBreakBefore w:val="0"/>
        <w:numPr>
          <w:ilvl w:val="0"/>
          <w:numId w:val="3"/>
        </w:numPr>
        <w:kinsoku/>
        <w:wordWrap/>
        <w:overflowPunct/>
        <w:topLinePunct w:val="0"/>
        <w:autoSpaceDE/>
        <w:autoSpaceDN/>
        <w:bidi w:val="0"/>
        <w:adjustRightInd/>
        <w:snapToGrid/>
        <w:spacing w:line="580" w:lineRule="exact"/>
        <w:ind w:left="-10" w:leftChars="0" w:firstLine="640" w:firstLineChars="0"/>
        <w:contextualSpacing/>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人员队伍建设有待加强。</w:t>
      </w:r>
      <w:r>
        <w:rPr>
          <w:rFonts w:hint="eastAsia" w:ascii="仿宋_GB2312" w:hAnsi="仿宋_GB2312" w:eastAsia="仿宋_GB2312" w:cs="仿宋_GB2312"/>
          <w:sz w:val="32"/>
          <w:szCs w:val="32"/>
          <w:highlight w:val="none"/>
          <w:lang w:eastAsia="zh-CN"/>
        </w:rPr>
        <w:t>目前，</w:t>
      </w:r>
      <w:r>
        <w:rPr>
          <w:rFonts w:hint="eastAsia" w:ascii="仿宋_GB2312" w:hAnsi="仿宋_GB2312" w:eastAsia="仿宋_GB2312" w:cs="仿宋_GB2312"/>
          <w:sz w:val="32"/>
          <w:szCs w:val="32"/>
          <w:highlight w:val="none"/>
          <w:lang w:val="en-US" w:eastAsia="zh-CN"/>
        </w:rPr>
        <w:t>街道政府信息公开没有专职人员负责，一定程度上影响了工作质量与效率。因基层工作任务较多，有时未能及时收集整理材料，可能导致政府信息公开主动性不够强、及时性不够，对一些公开的内容存在遗漏现象。</w:t>
      </w:r>
    </w:p>
    <w:p>
      <w:pPr>
        <w:keepNext w:val="0"/>
        <w:keepLines w:val="0"/>
        <w:pageBreakBefore w:val="0"/>
        <w:numPr>
          <w:ilvl w:val="0"/>
          <w:numId w:val="3"/>
        </w:numPr>
        <w:kinsoku/>
        <w:wordWrap/>
        <w:overflowPunct/>
        <w:topLinePunct w:val="0"/>
        <w:autoSpaceDE/>
        <w:autoSpaceDN/>
        <w:bidi w:val="0"/>
        <w:adjustRightInd/>
        <w:snapToGrid/>
        <w:spacing w:line="580" w:lineRule="exact"/>
        <w:ind w:left="-10" w:leftChars="0" w:firstLine="640" w:firstLineChars="0"/>
        <w:contextualSpacing/>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rPr>
        <w:t>公开的内容和形式还欠丰富。</w:t>
      </w:r>
      <w:r>
        <w:rPr>
          <w:rFonts w:hint="eastAsia" w:ascii="仿宋_GB2312" w:hAnsi="仿宋_GB2312" w:eastAsia="仿宋_GB2312" w:cs="仿宋_GB2312"/>
          <w:sz w:val="32"/>
          <w:szCs w:val="32"/>
          <w:highlight w:val="none"/>
          <w:lang w:val="en-US" w:eastAsia="zh-CN"/>
        </w:rPr>
        <w:t>目前，街道政务信息公开以工作动态为主，主要用“图+文”的形式呈现，缺乏创新，阅读量不高，平台受众有限，影响力不够。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contextualSpacing/>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下一步，我街道将按照《杭州市富阳区春江街道办事处政府信息公开指南》和上级对政府信息公开的相关要求，继续大力推进政府信息公开工作，主要是做好以下几方面工作：</w:t>
      </w:r>
      <w:r>
        <w:rPr>
          <w:rFonts w:hint="eastAsia" w:ascii="仿宋_GB2312" w:hAnsi="仿宋_GB2312" w:eastAsia="仿宋_GB2312" w:cs="仿宋_GB2312"/>
          <w:b/>
          <w:bCs/>
          <w:kern w:val="2"/>
          <w:sz w:val="32"/>
          <w:szCs w:val="32"/>
          <w:highlight w:val="none"/>
          <w:lang w:val="en-US" w:eastAsia="zh-CN" w:bidi="ar-SA"/>
        </w:rPr>
        <w:t>一是</w:t>
      </w:r>
      <w:r>
        <w:rPr>
          <w:rFonts w:hint="eastAsia" w:ascii="仿宋_GB2312" w:hAnsi="仿宋_GB2312" w:eastAsia="仿宋_GB2312" w:cs="仿宋_GB2312"/>
          <w:b w:val="0"/>
          <w:bCs w:val="0"/>
          <w:kern w:val="2"/>
          <w:sz w:val="32"/>
          <w:szCs w:val="32"/>
          <w:highlight w:val="none"/>
          <w:lang w:val="en-US" w:eastAsia="zh-CN" w:bidi="ar-SA"/>
        </w:rPr>
        <w:t>进一步完善政府信息公开各项规章制度，形成以制度管人、以制度谋事的长效机制，进一步规范政府信息公开工作，不断强化对相关工作人员的理论培训和业务培训；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contextualSpacing/>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二是</w:t>
      </w:r>
      <w:r>
        <w:rPr>
          <w:rFonts w:hint="eastAsia" w:ascii="仿宋_GB2312" w:hAnsi="仿宋_GB2312" w:eastAsia="仿宋_GB2312" w:cs="仿宋_GB2312"/>
          <w:b w:val="0"/>
          <w:bCs w:val="0"/>
          <w:kern w:val="2"/>
          <w:sz w:val="32"/>
          <w:szCs w:val="32"/>
          <w:highlight w:val="none"/>
          <w:lang w:val="en-US" w:eastAsia="zh-CN" w:bidi="ar-SA"/>
        </w:rPr>
        <w:t>紧紧围绕实施政府信息公开工作，多渠道、多形式地向社会和广大群众深入宣传政府信息公开工作，努力在街道形成群众积极关心政府信息公开的社会氛围。</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contextualSpacing/>
        <w:rPr>
          <w:rFonts w:ascii="黑体" w:hAnsi="黑体" w:eastAsia="黑体" w:cs="黑体"/>
          <w:sz w:val="32"/>
          <w:szCs w:val="32"/>
          <w:highlight w:val="none"/>
        </w:rPr>
      </w:pPr>
      <w:r>
        <w:rPr>
          <w:rFonts w:hint="eastAsia" w:ascii="黑体" w:hAnsi="黑体" w:eastAsia="黑体" w:cs="黑体"/>
          <w:b w:val="0"/>
          <w:bCs w:val="0"/>
          <w:sz w:val="32"/>
          <w:szCs w:val="32"/>
          <w:highlight w:val="none"/>
          <w:lang w:eastAsia="zh-CN"/>
        </w:rPr>
        <w:t>六、</w:t>
      </w:r>
      <w:r>
        <w:rPr>
          <w:rFonts w:hint="eastAsia" w:ascii="黑体" w:hAnsi="黑体" w:eastAsia="黑体" w:cs="黑体"/>
          <w:sz w:val="32"/>
          <w:szCs w:val="32"/>
          <w:highlight w:val="none"/>
        </w:rPr>
        <w:t>其他需要报告的事项</w:t>
      </w:r>
    </w:p>
    <w:p>
      <w:pPr>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本年度未收取信息处理费。</w:t>
      </w:r>
    </w:p>
    <w:p>
      <w:pPr>
        <w:ind w:firstLine="420" w:firstLineChars="200"/>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6E6B92"/>
    <w:multiLevelType w:val="singleLevel"/>
    <w:tmpl w:val="C96E6B92"/>
    <w:lvl w:ilvl="0" w:tentative="0">
      <w:start w:val="5"/>
      <w:numFmt w:val="chineseCounting"/>
      <w:suff w:val="nothing"/>
      <w:lvlText w:val="%1、"/>
      <w:lvlJc w:val="left"/>
      <w:rPr>
        <w:rFonts w:hint="eastAsia"/>
      </w:rPr>
    </w:lvl>
  </w:abstractNum>
  <w:abstractNum w:abstractNumId="1">
    <w:nsid w:val="EED8B48B"/>
    <w:multiLevelType w:val="singleLevel"/>
    <w:tmpl w:val="EED8B48B"/>
    <w:lvl w:ilvl="0" w:tentative="0">
      <w:start w:val="1"/>
      <w:numFmt w:val="decimal"/>
      <w:suff w:val="nothing"/>
      <w:lvlText w:val="%1、"/>
      <w:lvlJc w:val="left"/>
      <w:pPr>
        <w:ind w:left="-10"/>
      </w:pPr>
      <w:rPr>
        <w:rFonts w:hint="default" w:ascii="仿宋_GB2312" w:hAnsi="仿宋_GB2312" w:eastAsia="仿宋_GB2312" w:cs="仿宋_GB2312"/>
      </w:rPr>
    </w:lvl>
  </w:abstractNum>
  <w:abstractNum w:abstractNumId="2">
    <w:nsid w:val="0A2F830A"/>
    <w:multiLevelType w:val="singleLevel"/>
    <w:tmpl w:val="0A2F830A"/>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64122"/>
    <w:rsid w:val="051D318F"/>
    <w:rsid w:val="085C2CE5"/>
    <w:rsid w:val="08BB2B8A"/>
    <w:rsid w:val="12AB1EB7"/>
    <w:rsid w:val="132D0F5D"/>
    <w:rsid w:val="142C6756"/>
    <w:rsid w:val="1E6A510D"/>
    <w:rsid w:val="28B434B0"/>
    <w:rsid w:val="3479769A"/>
    <w:rsid w:val="48623B31"/>
    <w:rsid w:val="49D11273"/>
    <w:rsid w:val="4C2C5B3F"/>
    <w:rsid w:val="5C186ED1"/>
    <w:rsid w:val="65CF3C34"/>
    <w:rsid w:val="6891082F"/>
    <w:rsid w:val="68B94451"/>
    <w:rsid w:val="781D11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2021-01-11T08:46:00Z</dcterms:created>
  <dc:creator>烟雨楼台望月明</dc:creator>
  <cp:lastModifiedBy>Ttttttina:)</cp:lastModifiedBy>
  <dcterms:modified xsi:type="dcterms:W3CDTF">2022-01-25T06:35:38Z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AE2AE417C1E240F4B9160C1F83E1A96E</vt:lpwstr>
  </property>
</Properties>
</file>