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83" w:rsidRDefault="00053B83" w:rsidP="00053B8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2020年富阳区审计局政府信息公开工作</w:t>
      </w:r>
    </w:p>
    <w:p w:rsidR="00053B83" w:rsidRDefault="00053B83" w:rsidP="00053B8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年度报告</w:t>
      </w:r>
    </w:p>
    <w:p w:rsidR="00053B83" w:rsidRDefault="00053B83" w:rsidP="00053B83">
      <w:pPr>
        <w:spacing w:line="560" w:lineRule="exact"/>
        <w:rPr>
          <w:rFonts w:ascii="仿宋_GB2312" w:eastAsia="仿宋_GB2312" w:hAnsi="宋体" w:cs="宋体"/>
          <w:sz w:val="30"/>
          <w:szCs w:val="30"/>
        </w:rPr>
      </w:pPr>
    </w:p>
    <w:p w:rsidR="00053B83" w:rsidRPr="0033353E" w:rsidRDefault="00053B83" w:rsidP="0058386A">
      <w:pPr>
        <w:pStyle w:val="a3"/>
        <w:spacing w:before="0" w:beforeAutospacing="0" w:after="0" w:afterAutospacing="0" w:line="560" w:lineRule="exact"/>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根据《中华人民共和国政府信息公开条例》第五十条规定，编制富阳区审计局2020年度政府信息公开工作年度报告。本报告由总体情况，主动公开政府信息情况，收到和处理政府信息公开申请情况，因政府信息公开工作被申请行政复议、提起行政诉讼情况，政府信息公开工作存在的主要问题和改进情况，其他需要报告的事项等六部分组成。本年报的电子版可在“杭州</w:t>
      </w:r>
      <w:r>
        <w:rPr>
          <w:rFonts w:ascii="仿宋_GB2312" w:eastAsia="仿宋_GB2312" w:hAnsi="Arial" w:cs="Arial" w:hint="eastAsia"/>
          <w:color w:val="000000"/>
          <w:sz w:val="32"/>
          <w:szCs w:val="32"/>
        </w:rPr>
        <w:tab/>
        <w:t>·富阳”门户网站-政府信息公开专栏-政府信息公开年报栏目下载，如对本年报有疑问，请与富阳区审计局办公室联系（电话：0571-63313651，地址：杭州市富阳区江滨西大道358号文化中心A座7楼，邮编：311407）。</w:t>
      </w:r>
    </w:p>
    <w:p w:rsidR="00053B83" w:rsidRPr="00053B83" w:rsidRDefault="00053B83" w:rsidP="0058386A">
      <w:pPr>
        <w:spacing w:line="560" w:lineRule="exact"/>
        <w:ind w:firstLine="640"/>
        <w:rPr>
          <w:rFonts w:ascii="黑体" w:eastAsia="黑体" w:hAnsi="黑体" w:cs="黑体"/>
          <w:sz w:val="32"/>
          <w:szCs w:val="32"/>
        </w:rPr>
      </w:pPr>
      <w:r w:rsidRPr="00053B83">
        <w:rPr>
          <w:rFonts w:ascii="黑体" w:eastAsia="黑体" w:hAnsi="黑体" w:cs="黑体" w:hint="eastAsia"/>
          <w:sz w:val="32"/>
          <w:szCs w:val="32"/>
        </w:rPr>
        <w:t>一、总体情况</w:t>
      </w:r>
    </w:p>
    <w:p w:rsidR="00053B83" w:rsidRPr="00053B83" w:rsidRDefault="00053B83" w:rsidP="0058386A">
      <w:pPr>
        <w:pStyle w:val="a3"/>
        <w:spacing w:before="0" w:beforeAutospacing="0" w:after="0" w:afterAutospacing="0" w:line="560" w:lineRule="exact"/>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2020年，富阳区审计局认真贯彻国务院和省、市、区政府关于政府信息公开的有关要求，进一步规范政府信息公开内容，按照“应公开尽公开”原则，</w:t>
      </w:r>
      <w:r w:rsidR="00805469">
        <w:rPr>
          <w:rFonts w:ascii="仿宋_GB2312" w:eastAsia="仿宋_GB2312" w:hAnsi="Arial" w:cs="Arial" w:hint="eastAsia"/>
          <w:color w:val="000000"/>
          <w:sz w:val="32"/>
          <w:szCs w:val="32"/>
        </w:rPr>
        <w:t>结合审计工作实际，不断提升政府信息公开工作质量和水平</w:t>
      </w:r>
      <w:r>
        <w:rPr>
          <w:rFonts w:ascii="仿宋_GB2312" w:eastAsia="仿宋_GB2312" w:hAnsi="Arial" w:cs="Arial" w:hint="eastAsia"/>
          <w:color w:val="000000"/>
          <w:sz w:val="32"/>
          <w:szCs w:val="32"/>
        </w:rPr>
        <w:t>。</w:t>
      </w:r>
    </w:p>
    <w:p w:rsidR="00053B83" w:rsidRPr="007027E8" w:rsidRDefault="00053B83" w:rsidP="0058386A">
      <w:pPr>
        <w:spacing w:line="560" w:lineRule="exact"/>
        <w:ind w:firstLine="640"/>
        <w:rPr>
          <w:rFonts w:ascii="楷体_GB2312" w:eastAsia="楷体_GB2312" w:hAnsi="Arial" w:cs="Arial"/>
          <w:b/>
          <w:color w:val="000000"/>
          <w:kern w:val="0"/>
          <w:sz w:val="32"/>
          <w:szCs w:val="32"/>
        </w:rPr>
      </w:pPr>
      <w:r w:rsidRPr="007027E8">
        <w:rPr>
          <w:rFonts w:ascii="楷体_GB2312" w:eastAsia="楷体_GB2312" w:hAnsi="Arial" w:cs="Arial" w:hint="eastAsia"/>
          <w:b/>
          <w:color w:val="000000"/>
          <w:kern w:val="0"/>
          <w:sz w:val="32"/>
          <w:szCs w:val="32"/>
        </w:rPr>
        <w:t>（一）主动公开</w:t>
      </w:r>
      <w:r>
        <w:rPr>
          <w:rFonts w:ascii="楷体_GB2312" w:eastAsia="楷体_GB2312" w:hAnsi="Arial" w:cs="Arial" w:hint="eastAsia"/>
          <w:b/>
          <w:color w:val="000000"/>
          <w:kern w:val="0"/>
          <w:sz w:val="32"/>
          <w:szCs w:val="32"/>
        </w:rPr>
        <w:t>方面</w:t>
      </w:r>
    </w:p>
    <w:p w:rsidR="00053B83" w:rsidRDefault="00805469" w:rsidP="0058386A">
      <w:pPr>
        <w:spacing w:line="560" w:lineRule="exact"/>
        <w:ind w:firstLineChars="200" w:firstLine="640"/>
        <w:rPr>
          <w:rFonts w:ascii="仿宋_GB2312" w:eastAsia="仿宋_GB2312" w:hAnsi="Arial" w:cs="Arial" w:hint="eastAsia"/>
          <w:color w:val="000000"/>
          <w:kern w:val="0"/>
          <w:sz w:val="32"/>
          <w:szCs w:val="32"/>
        </w:rPr>
      </w:pPr>
      <w:r>
        <w:rPr>
          <w:rFonts w:ascii="仿宋_GB2312" w:eastAsia="仿宋_GB2312" w:hAnsi="Arial" w:cs="Arial" w:hint="eastAsia"/>
          <w:color w:val="000000"/>
          <w:kern w:val="0"/>
          <w:sz w:val="32"/>
          <w:szCs w:val="32"/>
        </w:rPr>
        <w:t>2020年，通过富阳区政府门户网站</w:t>
      </w:r>
      <w:r w:rsidR="00053B83" w:rsidRPr="00053B83">
        <w:rPr>
          <w:rFonts w:ascii="仿宋_GB2312" w:eastAsia="仿宋_GB2312" w:hAnsi="Arial" w:cs="Arial" w:hint="eastAsia"/>
          <w:color w:val="000000"/>
          <w:kern w:val="0"/>
          <w:sz w:val="32"/>
          <w:szCs w:val="32"/>
        </w:rPr>
        <w:t>主动公开信息</w:t>
      </w:r>
      <w:r w:rsidR="00053B83">
        <w:rPr>
          <w:rFonts w:ascii="仿宋_GB2312" w:eastAsia="仿宋_GB2312" w:hAnsi="Arial" w:cs="Arial" w:hint="eastAsia"/>
          <w:color w:val="000000"/>
          <w:kern w:val="0"/>
          <w:sz w:val="32"/>
          <w:szCs w:val="32"/>
        </w:rPr>
        <w:t>123</w:t>
      </w:r>
      <w:r w:rsidR="00053B83" w:rsidRPr="00053B83">
        <w:rPr>
          <w:rFonts w:ascii="仿宋_GB2312" w:eastAsia="仿宋_GB2312" w:hAnsi="Arial" w:cs="Arial" w:hint="eastAsia"/>
          <w:color w:val="000000"/>
          <w:kern w:val="0"/>
          <w:sz w:val="32"/>
          <w:szCs w:val="32"/>
        </w:rPr>
        <w:t>条</w:t>
      </w:r>
      <w:r w:rsidR="00053B83">
        <w:rPr>
          <w:rFonts w:ascii="仿宋_GB2312" w:eastAsia="仿宋_GB2312" w:hAnsi="Arial" w:cs="Arial" w:hint="eastAsia"/>
          <w:color w:val="000000"/>
          <w:kern w:val="0"/>
          <w:sz w:val="32"/>
          <w:szCs w:val="32"/>
        </w:rPr>
        <w:t>，公开数量较2019年上升89%</w:t>
      </w:r>
      <w:r w:rsidR="00053B83" w:rsidRPr="00053B83">
        <w:rPr>
          <w:rFonts w:ascii="仿宋_GB2312" w:eastAsia="仿宋_GB2312" w:hAnsi="Arial" w:cs="Arial" w:hint="eastAsia"/>
          <w:color w:val="000000"/>
          <w:kern w:val="0"/>
          <w:sz w:val="32"/>
          <w:szCs w:val="32"/>
        </w:rPr>
        <w:t>。</w:t>
      </w:r>
      <w:r w:rsidR="00053B83">
        <w:rPr>
          <w:rFonts w:ascii="仿宋_GB2312" w:eastAsia="仿宋_GB2312" w:hAnsi="Arial" w:cs="Arial" w:hint="eastAsia"/>
          <w:color w:val="000000"/>
          <w:kern w:val="0"/>
          <w:sz w:val="32"/>
          <w:szCs w:val="32"/>
        </w:rPr>
        <w:t>其中，</w:t>
      </w:r>
      <w:r w:rsidR="00053B83" w:rsidRPr="00053B83">
        <w:rPr>
          <w:rFonts w:ascii="仿宋_GB2312" w:eastAsia="仿宋_GB2312" w:hAnsi="Arial" w:cs="Arial"/>
          <w:color w:val="000000"/>
          <w:kern w:val="0"/>
          <w:sz w:val="32"/>
          <w:szCs w:val="32"/>
        </w:rPr>
        <w:t>组织机构</w:t>
      </w:r>
      <w:r w:rsidR="00053B83">
        <w:rPr>
          <w:rFonts w:ascii="仿宋_GB2312" w:eastAsia="仿宋_GB2312" w:hAnsi="Arial" w:cs="Arial" w:hint="eastAsia"/>
          <w:color w:val="000000"/>
          <w:kern w:val="0"/>
          <w:sz w:val="32"/>
          <w:szCs w:val="32"/>
        </w:rPr>
        <w:t>信息</w:t>
      </w:r>
      <w:r w:rsidR="00053B83" w:rsidRPr="00053B83">
        <w:rPr>
          <w:rFonts w:ascii="仿宋_GB2312" w:eastAsia="仿宋_GB2312" w:hAnsi="Arial" w:cs="Arial" w:hint="eastAsia"/>
          <w:color w:val="000000"/>
          <w:kern w:val="0"/>
          <w:sz w:val="32"/>
          <w:szCs w:val="32"/>
        </w:rPr>
        <w:t>4条</w:t>
      </w:r>
      <w:r w:rsidR="00EE2394">
        <w:rPr>
          <w:rFonts w:ascii="仿宋_GB2312" w:eastAsia="仿宋_GB2312" w:hAnsi="Arial" w:cs="Arial" w:hint="eastAsia"/>
          <w:color w:val="000000"/>
          <w:kern w:val="0"/>
          <w:sz w:val="32"/>
          <w:szCs w:val="32"/>
        </w:rPr>
        <w:t>、</w:t>
      </w:r>
      <w:r w:rsidR="00053B83" w:rsidRPr="00053B83">
        <w:rPr>
          <w:rFonts w:ascii="仿宋_GB2312" w:eastAsia="仿宋_GB2312" w:hAnsi="Arial" w:cs="Arial" w:hint="eastAsia"/>
          <w:color w:val="000000"/>
          <w:kern w:val="0"/>
          <w:sz w:val="32"/>
          <w:szCs w:val="32"/>
        </w:rPr>
        <w:t>部门文件2</w:t>
      </w:r>
      <w:r w:rsidR="00053B83">
        <w:rPr>
          <w:rFonts w:ascii="仿宋_GB2312" w:eastAsia="仿宋_GB2312" w:hAnsi="Arial" w:cs="Arial" w:hint="eastAsia"/>
          <w:color w:val="000000"/>
          <w:kern w:val="0"/>
          <w:sz w:val="32"/>
          <w:szCs w:val="32"/>
        </w:rPr>
        <w:t>个</w:t>
      </w:r>
      <w:r w:rsidR="00EE2394">
        <w:rPr>
          <w:rFonts w:ascii="仿宋_GB2312" w:eastAsia="仿宋_GB2312" w:hAnsi="Arial" w:cs="Arial" w:hint="eastAsia"/>
          <w:color w:val="000000"/>
          <w:kern w:val="0"/>
          <w:sz w:val="32"/>
          <w:szCs w:val="32"/>
        </w:rPr>
        <w:t>、</w:t>
      </w:r>
      <w:r w:rsidR="00053B83" w:rsidRPr="00053B83">
        <w:rPr>
          <w:rFonts w:ascii="仿宋_GB2312" w:eastAsia="仿宋_GB2312" w:hAnsi="Arial" w:cs="Arial" w:hint="eastAsia"/>
          <w:color w:val="000000"/>
          <w:kern w:val="0"/>
          <w:sz w:val="32"/>
          <w:szCs w:val="32"/>
        </w:rPr>
        <w:t>政府决策2</w:t>
      </w:r>
      <w:r>
        <w:rPr>
          <w:rFonts w:ascii="仿宋_GB2312" w:eastAsia="仿宋_GB2312" w:hAnsi="Arial" w:cs="Arial" w:hint="eastAsia"/>
          <w:color w:val="000000"/>
          <w:kern w:val="0"/>
          <w:sz w:val="32"/>
          <w:szCs w:val="32"/>
        </w:rPr>
        <w:t>条</w:t>
      </w:r>
      <w:r w:rsidR="00EE2394">
        <w:rPr>
          <w:rFonts w:ascii="仿宋_GB2312" w:eastAsia="仿宋_GB2312" w:hAnsi="Arial" w:cs="Arial" w:hint="eastAsia"/>
          <w:color w:val="000000"/>
          <w:kern w:val="0"/>
          <w:sz w:val="32"/>
          <w:szCs w:val="32"/>
        </w:rPr>
        <w:t>、</w:t>
      </w:r>
      <w:r w:rsidR="00053B83" w:rsidRPr="00053B83">
        <w:rPr>
          <w:rFonts w:ascii="仿宋_GB2312" w:eastAsia="仿宋_GB2312" w:hAnsi="Arial" w:cs="Arial" w:hint="eastAsia"/>
          <w:color w:val="000000"/>
          <w:kern w:val="0"/>
          <w:sz w:val="32"/>
          <w:szCs w:val="32"/>
        </w:rPr>
        <w:t>重大事项决策3条</w:t>
      </w:r>
      <w:r w:rsidR="00EE2394">
        <w:rPr>
          <w:rFonts w:ascii="仿宋_GB2312" w:eastAsia="仿宋_GB2312" w:hAnsi="Arial" w:cs="Arial" w:hint="eastAsia"/>
          <w:color w:val="000000"/>
          <w:kern w:val="0"/>
          <w:sz w:val="32"/>
          <w:szCs w:val="32"/>
        </w:rPr>
        <w:t>、</w:t>
      </w:r>
      <w:r w:rsidR="00053B83" w:rsidRPr="00053B83">
        <w:rPr>
          <w:rFonts w:ascii="仿宋_GB2312" w:eastAsia="仿宋_GB2312" w:hAnsi="Arial" w:cs="Arial" w:hint="eastAsia"/>
          <w:color w:val="000000"/>
          <w:kern w:val="0"/>
          <w:sz w:val="32"/>
          <w:szCs w:val="32"/>
        </w:rPr>
        <w:t>财政信息3条</w:t>
      </w:r>
      <w:r w:rsidR="00EE2394">
        <w:rPr>
          <w:rFonts w:ascii="仿宋_GB2312" w:eastAsia="仿宋_GB2312" w:hAnsi="Arial" w:cs="Arial" w:hint="eastAsia"/>
          <w:color w:val="000000"/>
          <w:kern w:val="0"/>
          <w:sz w:val="32"/>
          <w:szCs w:val="32"/>
        </w:rPr>
        <w:t>、</w:t>
      </w:r>
      <w:r w:rsidR="00053B83" w:rsidRPr="00053B83">
        <w:rPr>
          <w:rFonts w:ascii="仿宋_GB2312" w:eastAsia="仿宋_GB2312" w:hAnsi="Arial" w:cs="Arial" w:hint="eastAsia"/>
          <w:color w:val="000000"/>
          <w:kern w:val="0"/>
          <w:sz w:val="32"/>
          <w:szCs w:val="32"/>
        </w:rPr>
        <w:t>人事信息1条</w:t>
      </w:r>
      <w:r w:rsidR="00EE2394">
        <w:rPr>
          <w:rFonts w:ascii="仿宋_GB2312" w:eastAsia="仿宋_GB2312" w:hAnsi="Arial" w:cs="Arial" w:hint="eastAsia"/>
          <w:color w:val="000000"/>
          <w:kern w:val="0"/>
          <w:sz w:val="32"/>
          <w:szCs w:val="32"/>
        </w:rPr>
        <w:t>、</w:t>
      </w:r>
      <w:r w:rsidR="00053B83" w:rsidRPr="00053B83">
        <w:rPr>
          <w:rFonts w:ascii="仿宋_GB2312" w:eastAsia="仿宋_GB2312" w:hAnsi="Arial" w:cs="Arial" w:hint="eastAsia"/>
          <w:color w:val="000000"/>
          <w:kern w:val="0"/>
          <w:sz w:val="32"/>
          <w:szCs w:val="32"/>
        </w:rPr>
        <w:t>公告公示45条</w:t>
      </w:r>
      <w:r w:rsidR="00EE2394">
        <w:rPr>
          <w:rFonts w:ascii="仿宋_GB2312" w:eastAsia="仿宋_GB2312" w:hAnsi="Arial" w:cs="Arial" w:hint="eastAsia"/>
          <w:color w:val="000000"/>
          <w:kern w:val="0"/>
          <w:sz w:val="32"/>
          <w:szCs w:val="32"/>
        </w:rPr>
        <w:t>、</w:t>
      </w:r>
      <w:r w:rsidR="00D367C5">
        <w:rPr>
          <w:rFonts w:ascii="仿宋_GB2312" w:eastAsia="仿宋_GB2312" w:hAnsi="Arial" w:cs="Arial" w:hint="eastAsia"/>
          <w:color w:val="000000"/>
          <w:kern w:val="0"/>
          <w:sz w:val="32"/>
          <w:szCs w:val="32"/>
        </w:rPr>
        <w:t>工作动态</w:t>
      </w:r>
      <w:r w:rsidR="00053B83" w:rsidRPr="00053B83">
        <w:rPr>
          <w:rFonts w:ascii="仿宋_GB2312" w:eastAsia="仿宋_GB2312" w:hAnsi="Arial" w:cs="Arial" w:hint="eastAsia"/>
          <w:color w:val="000000"/>
          <w:kern w:val="0"/>
          <w:sz w:val="32"/>
          <w:szCs w:val="32"/>
        </w:rPr>
        <w:t>57条</w:t>
      </w:r>
      <w:r w:rsidR="00EE2394">
        <w:rPr>
          <w:rFonts w:ascii="仿宋_GB2312" w:eastAsia="仿宋_GB2312" w:hAnsi="Arial" w:cs="Arial" w:hint="eastAsia"/>
          <w:color w:val="000000"/>
          <w:kern w:val="0"/>
          <w:sz w:val="32"/>
          <w:szCs w:val="32"/>
        </w:rPr>
        <w:t>、</w:t>
      </w:r>
      <w:r w:rsidR="00053B83" w:rsidRPr="00053B83">
        <w:rPr>
          <w:rFonts w:ascii="仿宋_GB2312" w:eastAsia="仿宋_GB2312" w:hAnsi="Arial" w:cs="Arial" w:hint="eastAsia"/>
          <w:color w:val="000000"/>
          <w:kern w:val="0"/>
          <w:sz w:val="32"/>
          <w:szCs w:val="32"/>
        </w:rPr>
        <w:t>建议提案1</w:t>
      </w:r>
      <w:r w:rsidR="00053B83">
        <w:rPr>
          <w:rFonts w:ascii="仿宋_GB2312" w:eastAsia="仿宋_GB2312" w:hAnsi="Arial" w:cs="Arial" w:hint="eastAsia"/>
          <w:color w:val="000000"/>
          <w:kern w:val="0"/>
          <w:sz w:val="32"/>
          <w:szCs w:val="32"/>
        </w:rPr>
        <w:t>项</w:t>
      </w:r>
      <w:r w:rsidR="00EE2394">
        <w:rPr>
          <w:rFonts w:ascii="仿宋_GB2312" w:eastAsia="仿宋_GB2312" w:hAnsi="Arial" w:cs="Arial" w:hint="eastAsia"/>
          <w:color w:val="000000"/>
          <w:kern w:val="0"/>
          <w:sz w:val="32"/>
          <w:szCs w:val="32"/>
        </w:rPr>
        <w:t>、</w:t>
      </w:r>
      <w:r w:rsidR="00053B83">
        <w:rPr>
          <w:rFonts w:ascii="仿宋_GB2312" w:eastAsia="仿宋_GB2312" w:hAnsi="Arial" w:cs="Arial" w:hint="eastAsia"/>
          <w:color w:val="000000"/>
          <w:kern w:val="0"/>
          <w:sz w:val="32"/>
          <w:szCs w:val="32"/>
        </w:rPr>
        <w:t>重点领域信息</w:t>
      </w:r>
      <w:r w:rsidR="00053B83" w:rsidRPr="00053B83">
        <w:rPr>
          <w:rFonts w:ascii="仿宋_GB2312" w:eastAsia="仿宋_GB2312" w:hAnsi="Arial" w:cs="Arial" w:hint="eastAsia"/>
          <w:color w:val="000000"/>
          <w:kern w:val="0"/>
          <w:sz w:val="32"/>
          <w:szCs w:val="32"/>
        </w:rPr>
        <w:t>5</w:t>
      </w:r>
      <w:r w:rsidR="00053B83">
        <w:rPr>
          <w:rFonts w:ascii="仿宋_GB2312" w:eastAsia="仿宋_GB2312" w:hAnsi="Arial" w:cs="Arial" w:hint="eastAsia"/>
          <w:color w:val="000000"/>
          <w:kern w:val="0"/>
          <w:sz w:val="32"/>
          <w:szCs w:val="32"/>
        </w:rPr>
        <w:t>条。</w:t>
      </w:r>
    </w:p>
    <w:p w:rsidR="00401B24" w:rsidRDefault="00401B24" w:rsidP="00401B24">
      <w:pPr>
        <w:spacing w:line="560" w:lineRule="exact"/>
        <w:ind w:leftChars="306" w:left="643"/>
        <w:rPr>
          <w:rFonts w:ascii="仿宋_GB2312" w:eastAsia="仿宋_GB2312" w:hAnsi="Arial" w:cs="Arial" w:hint="eastAsia"/>
          <w:color w:val="000000"/>
          <w:kern w:val="0"/>
          <w:sz w:val="32"/>
          <w:szCs w:val="32"/>
        </w:rPr>
      </w:pPr>
      <w:r w:rsidRPr="00401B24">
        <w:rPr>
          <w:rFonts w:ascii="楷体_GB2312" w:eastAsia="楷体_GB2312" w:hAnsi="Arial" w:cs="Arial" w:hint="eastAsia"/>
          <w:b/>
          <w:color w:val="000000"/>
          <w:kern w:val="0"/>
          <w:sz w:val="32"/>
          <w:szCs w:val="32"/>
        </w:rPr>
        <w:lastRenderedPageBreak/>
        <w:t>（二）政府信息管理</w:t>
      </w:r>
      <w:r w:rsidR="00F82AA8">
        <w:rPr>
          <w:rFonts w:ascii="楷体_GB2312" w:eastAsia="楷体_GB2312" w:hAnsi="Arial" w:cs="Arial" w:hint="eastAsia"/>
          <w:b/>
          <w:color w:val="000000"/>
          <w:kern w:val="0"/>
          <w:sz w:val="32"/>
          <w:szCs w:val="32"/>
        </w:rPr>
        <w:t>方面</w:t>
      </w:r>
      <w:bookmarkStart w:id="0" w:name="_GoBack"/>
      <w:bookmarkEnd w:id="0"/>
      <w:r w:rsidRPr="00401B24">
        <w:rPr>
          <w:rFonts w:ascii="楷体_GB2312" w:eastAsia="楷体_GB2312" w:hAnsi="Arial" w:cs="Arial" w:hint="eastAsia"/>
          <w:b/>
          <w:color w:val="000000"/>
          <w:kern w:val="0"/>
          <w:sz w:val="32"/>
          <w:szCs w:val="32"/>
        </w:rPr>
        <w:cr/>
      </w:r>
      <w:r w:rsidRPr="00401B24">
        <w:rPr>
          <w:rFonts w:ascii="仿宋_GB2312" w:eastAsia="仿宋_GB2312" w:hAnsi="Arial" w:cs="Arial" w:hint="eastAsia"/>
          <w:color w:val="000000"/>
          <w:kern w:val="0"/>
          <w:sz w:val="32"/>
          <w:szCs w:val="32"/>
        </w:rPr>
        <w:t>进一步完善政务信息常态化管理机制，建立健全政务信</w:t>
      </w:r>
    </w:p>
    <w:p w:rsidR="00401B24" w:rsidRPr="00401B24" w:rsidRDefault="00401B24" w:rsidP="00401B24">
      <w:pPr>
        <w:spacing w:line="560" w:lineRule="exact"/>
        <w:rPr>
          <w:rFonts w:ascii="仿宋_GB2312" w:eastAsia="仿宋_GB2312" w:hAnsi="Arial" w:cs="Arial"/>
          <w:color w:val="000000"/>
          <w:kern w:val="0"/>
          <w:sz w:val="32"/>
          <w:szCs w:val="32"/>
        </w:rPr>
      </w:pPr>
      <w:proofErr w:type="gramStart"/>
      <w:r w:rsidRPr="00401B24">
        <w:rPr>
          <w:rFonts w:ascii="仿宋_GB2312" w:eastAsia="仿宋_GB2312" w:hAnsi="Arial" w:cs="Arial" w:hint="eastAsia"/>
          <w:color w:val="000000"/>
          <w:kern w:val="0"/>
          <w:sz w:val="32"/>
          <w:szCs w:val="32"/>
        </w:rPr>
        <w:t>息</w:t>
      </w:r>
      <w:proofErr w:type="gramEnd"/>
      <w:r w:rsidRPr="00401B24">
        <w:rPr>
          <w:rFonts w:ascii="仿宋_GB2312" w:eastAsia="仿宋_GB2312" w:hAnsi="Arial" w:cs="Arial" w:hint="eastAsia"/>
          <w:color w:val="000000"/>
          <w:kern w:val="0"/>
          <w:sz w:val="32"/>
          <w:szCs w:val="32"/>
        </w:rPr>
        <w:t>制</w:t>
      </w:r>
      <w:r>
        <w:rPr>
          <w:rFonts w:ascii="仿宋_GB2312" w:eastAsia="仿宋_GB2312" w:hAnsi="Arial" w:cs="Arial" w:hint="eastAsia"/>
          <w:color w:val="000000"/>
          <w:kern w:val="0"/>
          <w:sz w:val="32"/>
          <w:szCs w:val="32"/>
        </w:rPr>
        <w:t>作、公开、存档等制度，探索对政务信息进行全生命周期的规范管理。</w:t>
      </w:r>
      <w:r w:rsidRPr="00401B24">
        <w:rPr>
          <w:rFonts w:ascii="仿宋_GB2312" w:eastAsia="仿宋_GB2312" w:hAnsi="Arial" w:cs="Arial" w:hint="eastAsia"/>
          <w:color w:val="000000"/>
          <w:kern w:val="0"/>
          <w:sz w:val="32"/>
          <w:szCs w:val="32"/>
        </w:rPr>
        <w:t>完善工作机制</w:t>
      </w:r>
      <w:r>
        <w:rPr>
          <w:rFonts w:ascii="仿宋_GB2312" w:eastAsia="仿宋_GB2312" w:hAnsi="Arial" w:cs="Arial" w:hint="eastAsia"/>
          <w:color w:val="000000"/>
          <w:kern w:val="0"/>
          <w:sz w:val="32"/>
          <w:szCs w:val="32"/>
        </w:rPr>
        <w:t>，</w:t>
      </w:r>
      <w:r w:rsidRPr="00401B24">
        <w:rPr>
          <w:rFonts w:ascii="仿宋_GB2312" w:eastAsia="仿宋_GB2312" w:hAnsi="Arial" w:cs="Arial" w:hint="eastAsia"/>
          <w:color w:val="000000"/>
          <w:kern w:val="0"/>
          <w:sz w:val="32"/>
          <w:szCs w:val="32"/>
        </w:rPr>
        <w:t>按照“统一管理、统一标准、统一规范”的原则，以标准为依据、以资源共享为目的，整合内部信息资源，建设内容信息公开体系，保障信息的权威性、准确性以及及时性，提高信息的应用、服务水平。</w:t>
      </w:r>
      <w:r>
        <w:rPr>
          <w:rFonts w:ascii="仿宋_GB2312" w:eastAsia="仿宋_GB2312" w:hAnsi="Arial" w:cs="Arial" w:hint="eastAsia"/>
          <w:color w:val="000000"/>
          <w:kern w:val="0"/>
          <w:sz w:val="32"/>
          <w:szCs w:val="32"/>
        </w:rPr>
        <w:t>加大信息公开力度，</w:t>
      </w:r>
      <w:r w:rsidRPr="00401B24">
        <w:rPr>
          <w:rFonts w:ascii="仿宋_GB2312" w:eastAsia="仿宋_GB2312" w:hAnsi="Arial" w:cs="Arial" w:hint="eastAsia"/>
          <w:color w:val="000000"/>
          <w:kern w:val="0"/>
          <w:sz w:val="32"/>
          <w:szCs w:val="32"/>
        </w:rPr>
        <w:t>提高</w:t>
      </w:r>
      <w:r>
        <w:rPr>
          <w:rFonts w:ascii="仿宋_GB2312" w:eastAsia="仿宋_GB2312" w:hAnsi="Arial" w:cs="Arial" w:hint="eastAsia"/>
          <w:color w:val="000000"/>
          <w:kern w:val="0"/>
          <w:sz w:val="32"/>
          <w:szCs w:val="32"/>
        </w:rPr>
        <w:t>审计</w:t>
      </w:r>
      <w:r w:rsidRPr="00401B24">
        <w:rPr>
          <w:rFonts w:ascii="仿宋_GB2312" w:eastAsia="仿宋_GB2312" w:hAnsi="Arial" w:cs="Arial" w:hint="eastAsia"/>
          <w:color w:val="000000"/>
          <w:kern w:val="0"/>
          <w:sz w:val="32"/>
          <w:szCs w:val="32"/>
        </w:rPr>
        <w:t>工作透明度，充分发挥政府信息对人民群众的服务作用。</w:t>
      </w:r>
    </w:p>
    <w:p w:rsidR="00053B83" w:rsidRPr="007027E8" w:rsidRDefault="00053B83" w:rsidP="0058386A">
      <w:pPr>
        <w:pStyle w:val="a3"/>
        <w:spacing w:before="0" w:beforeAutospacing="0" w:after="0" w:afterAutospacing="0" w:line="560" w:lineRule="exact"/>
        <w:ind w:firstLine="645"/>
        <w:rPr>
          <w:rFonts w:ascii="楷体_GB2312" w:eastAsia="楷体_GB2312" w:hAnsi="Arial" w:cs="Arial"/>
          <w:b/>
          <w:color w:val="000000"/>
          <w:sz w:val="32"/>
          <w:szCs w:val="32"/>
        </w:rPr>
      </w:pPr>
      <w:r w:rsidRPr="007027E8">
        <w:rPr>
          <w:rFonts w:ascii="楷体_GB2312" w:eastAsia="楷体_GB2312" w:hAnsi="Arial" w:cs="Arial" w:hint="eastAsia"/>
          <w:b/>
          <w:color w:val="000000"/>
          <w:sz w:val="32"/>
          <w:szCs w:val="32"/>
        </w:rPr>
        <w:t>（</w:t>
      </w:r>
      <w:r w:rsidR="00401B24">
        <w:rPr>
          <w:rFonts w:ascii="楷体_GB2312" w:eastAsia="楷体_GB2312" w:hAnsi="Arial" w:cs="Arial" w:hint="eastAsia"/>
          <w:b/>
          <w:color w:val="000000"/>
          <w:sz w:val="32"/>
          <w:szCs w:val="32"/>
        </w:rPr>
        <w:t>三</w:t>
      </w:r>
      <w:r w:rsidRPr="007027E8">
        <w:rPr>
          <w:rFonts w:ascii="楷体_GB2312" w:eastAsia="楷体_GB2312" w:hAnsi="Arial" w:cs="Arial" w:hint="eastAsia"/>
          <w:b/>
          <w:color w:val="000000"/>
          <w:sz w:val="32"/>
          <w:szCs w:val="32"/>
        </w:rPr>
        <w:t>）平台建设</w:t>
      </w:r>
      <w:r w:rsidR="00805469">
        <w:rPr>
          <w:rFonts w:ascii="楷体_GB2312" w:eastAsia="楷体_GB2312" w:hAnsi="Arial" w:cs="Arial" w:hint="eastAsia"/>
          <w:b/>
          <w:color w:val="000000"/>
          <w:sz w:val="32"/>
          <w:szCs w:val="32"/>
        </w:rPr>
        <w:t>方面</w:t>
      </w:r>
    </w:p>
    <w:p w:rsidR="00053B83" w:rsidRDefault="00805469" w:rsidP="0058386A">
      <w:pPr>
        <w:pStyle w:val="a3"/>
        <w:spacing w:before="0" w:beforeAutospacing="0" w:after="0" w:afterAutospacing="0" w:line="560" w:lineRule="exact"/>
        <w:ind w:firstLine="645"/>
        <w:rPr>
          <w:rFonts w:ascii="仿宋_GB2312" w:eastAsia="仿宋_GB2312" w:hAnsi="Arial" w:cs="Arial"/>
          <w:color w:val="000000"/>
          <w:sz w:val="32"/>
          <w:szCs w:val="32"/>
        </w:rPr>
      </w:pPr>
      <w:r w:rsidRPr="00805469">
        <w:rPr>
          <w:rFonts w:ascii="仿宋_GB2312" w:eastAsia="仿宋_GB2312" w:hAnsi="Arial" w:cs="Arial" w:hint="eastAsia"/>
          <w:color w:val="000000"/>
          <w:sz w:val="32"/>
          <w:szCs w:val="32"/>
        </w:rPr>
        <w:t>认真落实《国务院办公厅政府信息与政务公开办公室关于规范政府信息公开平台有关事项的通知》（国办公开办〔2019〕61号）要求，突出展示审计</w:t>
      </w:r>
      <w:r>
        <w:rPr>
          <w:rFonts w:ascii="仿宋_GB2312" w:eastAsia="仿宋_GB2312" w:hAnsi="Arial" w:cs="Arial" w:hint="eastAsia"/>
          <w:color w:val="000000"/>
          <w:sz w:val="32"/>
          <w:szCs w:val="32"/>
        </w:rPr>
        <w:t>结果公告以及审计工作动态</w:t>
      </w:r>
      <w:r w:rsidRPr="00805469">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主动接受社会监督，打造阳光审计。</w:t>
      </w:r>
      <w:r w:rsidRPr="00805469">
        <w:rPr>
          <w:rFonts w:ascii="仿宋_GB2312" w:eastAsia="仿宋_GB2312" w:hAnsi="Arial" w:cs="Arial" w:hint="eastAsia"/>
          <w:color w:val="000000"/>
          <w:sz w:val="32"/>
          <w:szCs w:val="32"/>
        </w:rPr>
        <w:t>充分发挥微信、</w:t>
      </w:r>
      <w:proofErr w:type="gramStart"/>
      <w:r w:rsidRPr="00805469">
        <w:rPr>
          <w:rFonts w:ascii="仿宋_GB2312" w:eastAsia="仿宋_GB2312" w:hAnsi="Arial" w:cs="Arial" w:hint="eastAsia"/>
          <w:color w:val="000000"/>
          <w:sz w:val="32"/>
          <w:szCs w:val="32"/>
        </w:rPr>
        <w:t>微博等</w:t>
      </w:r>
      <w:proofErr w:type="gramEnd"/>
      <w:r w:rsidRPr="00805469">
        <w:rPr>
          <w:rFonts w:ascii="仿宋_GB2312" w:eastAsia="仿宋_GB2312" w:hAnsi="Arial" w:cs="Arial" w:hint="eastAsia"/>
          <w:color w:val="000000"/>
          <w:sz w:val="32"/>
          <w:szCs w:val="32"/>
        </w:rPr>
        <w:t>平台功能，</w:t>
      </w:r>
      <w:r>
        <w:rPr>
          <w:rFonts w:ascii="仿宋_GB2312" w:eastAsia="仿宋_GB2312" w:hAnsi="Arial" w:cs="Arial" w:hint="eastAsia"/>
          <w:color w:val="000000"/>
          <w:sz w:val="32"/>
          <w:szCs w:val="32"/>
        </w:rPr>
        <w:t>坚持每周更新内容，对日常工作动态、官方权威发布信息及时进行推送，将政府信息公开向基层群众延伸，为公众获取审计信息提供便利。</w:t>
      </w:r>
      <w:r>
        <w:rPr>
          <w:rFonts w:ascii="仿宋_GB2312" w:eastAsia="仿宋_GB2312" w:hAnsi="Arial" w:cs="Arial"/>
          <w:color w:val="000000"/>
          <w:sz w:val="32"/>
          <w:szCs w:val="32"/>
        </w:rPr>
        <w:t xml:space="preserve"> </w:t>
      </w:r>
    </w:p>
    <w:p w:rsidR="00053B83" w:rsidRDefault="00401B24" w:rsidP="0058386A">
      <w:pPr>
        <w:spacing w:line="560" w:lineRule="exact"/>
        <w:ind w:firstLine="640"/>
        <w:rPr>
          <w:rFonts w:ascii="楷体_GB2312" w:eastAsia="楷体_GB2312" w:hAnsi="Arial" w:cs="Arial"/>
          <w:b/>
          <w:color w:val="000000"/>
          <w:kern w:val="0"/>
          <w:sz w:val="32"/>
          <w:szCs w:val="32"/>
        </w:rPr>
      </w:pPr>
      <w:r>
        <w:rPr>
          <w:rFonts w:ascii="楷体_GB2312" w:eastAsia="楷体_GB2312" w:hAnsi="Arial" w:cs="Arial" w:hint="eastAsia"/>
          <w:b/>
          <w:color w:val="000000"/>
          <w:kern w:val="0"/>
          <w:sz w:val="32"/>
          <w:szCs w:val="32"/>
        </w:rPr>
        <w:t>（四</w:t>
      </w:r>
      <w:r w:rsidR="00053B83" w:rsidRPr="007027E8">
        <w:rPr>
          <w:rFonts w:ascii="楷体_GB2312" w:eastAsia="楷体_GB2312" w:hAnsi="Arial" w:cs="Arial" w:hint="eastAsia"/>
          <w:b/>
          <w:color w:val="000000"/>
          <w:kern w:val="0"/>
          <w:sz w:val="32"/>
          <w:szCs w:val="32"/>
        </w:rPr>
        <w:t>）监督保障</w:t>
      </w:r>
      <w:r w:rsidR="00805469">
        <w:rPr>
          <w:rFonts w:ascii="楷体_GB2312" w:eastAsia="楷体_GB2312" w:hAnsi="Arial" w:cs="Arial" w:hint="eastAsia"/>
          <w:b/>
          <w:color w:val="000000"/>
          <w:kern w:val="0"/>
          <w:sz w:val="32"/>
          <w:szCs w:val="32"/>
        </w:rPr>
        <w:t>方面</w:t>
      </w:r>
    </w:p>
    <w:p w:rsidR="00805469" w:rsidRDefault="00805469" w:rsidP="0058386A">
      <w:pPr>
        <w:spacing w:line="560" w:lineRule="exact"/>
        <w:ind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局门户网站纳入区政务</w:t>
      </w:r>
      <w:r w:rsidRPr="00805469">
        <w:rPr>
          <w:rFonts w:ascii="仿宋_GB2312" w:eastAsia="仿宋_GB2312" w:hAnsi="Arial" w:cs="Arial" w:hint="eastAsia"/>
          <w:color w:val="000000"/>
          <w:sz w:val="32"/>
          <w:szCs w:val="32"/>
        </w:rPr>
        <w:t>网站集约化平台</w:t>
      </w:r>
      <w:r>
        <w:rPr>
          <w:rFonts w:ascii="仿宋_GB2312" w:eastAsia="仿宋_GB2312" w:hAnsi="Arial" w:cs="Arial" w:hint="eastAsia"/>
          <w:color w:val="000000"/>
          <w:sz w:val="32"/>
          <w:szCs w:val="32"/>
        </w:rPr>
        <w:t>建设，按照要求统一规范管理。</w:t>
      </w:r>
      <w:r w:rsidRPr="00805469">
        <w:rPr>
          <w:rFonts w:ascii="仿宋_GB2312" w:eastAsia="仿宋_GB2312" w:hAnsi="Arial" w:cs="Arial" w:hint="eastAsia"/>
          <w:color w:val="000000"/>
          <w:sz w:val="32"/>
          <w:szCs w:val="32"/>
        </w:rPr>
        <w:t>进一步强化政府信息公开制度建设，对网站更新、信息发布等工作流程进行规范，</w:t>
      </w:r>
      <w:r>
        <w:rPr>
          <w:rFonts w:ascii="仿宋_GB2312" w:eastAsia="仿宋_GB2312" w:hAnsi="Arial" w:cs="Arial" w:hint="eastAsia"/>
          <w:color w:val="000000"/>
          <w:sz w:val="32"/>
          <w:szCs w:val="32"/>
        </w:rPr>
        <w:t>安排专人负责局门户网站的日常管理，</w:t>
      </w:r>
      <w:r w:rsidRPr="007027E8">
        <w:rPr>
          <w:rFonts w:ascii="仿宋_GB2312" w:eastAsia="仿宋_GB2312" w:hAnsi="Arial" w:cs="Arial" w:hint="eastAsia"/>
          <w:color w:val="000000"/>
          <w:sz w:val="32"/>
          <w:szCs w:val="32"/>
        </w:rPr>
        <w:t>严格执行信息公开审查要求，</w:t>
      </w:r>
      <w:r>
        <w:rPr>
          <w:rFonts w:ascii="仿宋_GB2312" w:eastAsia="仿宋_GB2312" w:hAnsi="Arial" w:cs="Arial" w:hint="eastAsia"/>
          <w:color w:val="000000"/>
          <w:sz w:val="32"/>
          <w:szCs w:val="32"/>
        </w:rPr>
        <w:t>进一步提升政府信息公开质量</w:t>
      </w:r>
      <w:r w:rsidRPr="007027E8">
        <w:rPr>
          <w:rFonts w:ascii="仿宋_GB2312" w:eastAsia="仿宋_GB2312" w:hAnsi="Arial" w:cs="Arial" w:hint="eastAsia"/>
          <w:color w:val="000000"/>
          <w:sz w:val="32"/>
          <w:szCs w:val="32"/>
        </w:rPr>
        <w:t>。</w:t>
      </w:r>
      <w:r w:rsidRPr="00805469">
        <w:rPr>
          <w:rFonts w:ascii="仿宋_GB2312" w:eastAsia="仿宋_GB2312" w:hAnsi="Arial" w:cs="Arial" w:hint="eastAsia"/>
          <w:color w:val="000000"/>
          <w:sz w:val="32"/>
          <w:szCs w:val="32"/>
        </w:rPr>
        <w:t>将政府信息公开工作纳入</w:t>
      </w:r>
      <w:r>
        <w:rPr>
          <w:rFonts w:ascii="仿宋_GB2312" w:eastAsia="仿宋_GB2312" w:hAnsi="Arial" w:cs="Arial" w:hint="eastAsia"/>
          <w:color w:val="000000"/>
          <w:sz w:val="32"/>
          <w:szCs w:val="32"/>
        </w:rPr>
        <w:t>科室年度</w:t>
      </w:r>
      <w:r w:rsidRPr="00805469">
        <w:rPr>
          <w:rFonts w:ascii="仿宋_GB2312" w:eastAsia="仿宋_GB2312" w:hAnsi="Arial" w:cs="Arial" w:hint="eastAsia"/>
          <w:color w:val="000000"/>
          <w:sz w:val="32"/>
          <w:szCs w:val="32"/>
        </w:rPr>
        <w:t>考核</w:t>
      </w:r>
      <w:r>
        <w:rPr>
          <w:rFonts w:ascii="仿宋_GB2312" w:eastAsia="仿宋_GB2312" w:hAnsi="Arial" w:cs="Arial" w:hint="eastAsia"/>
          <w:color w:val="000000"/>
          <w:sz w:val="32"/>
          <w:szCs w:val="32"/>
        </w:rPr>
        <w:t>，明确各个科室关于政府信息公开工作职责，对报送信息的科</w:t>
      </w:r>
      <w:r>
        <w:rPr>
          <w:rFonts w:ascii="仿宋_GB2312" w:eastAsia="仿宋_GB2312" w:hAnsi="Arial" w:cs="Arial" w:hint="eastAsia"/>
          <w:color w:val="000000"/>
          <w:sz w:val="32"/>
          <w:szCs w:val="32"/>
        </w:rPr>
        <w:lastRenderedPageBreak/>
        <w:t>室和个人实施加分激励机制。</w:t>
      </w:r>
    </w:p>
    <w:p w:rsidR="00053B83" w:rsidRPr="007027E8" w:rsidRDefault="00401B24" w:rsidP="0058386A">
      <w:pPr>
        <w:spacing w:line="560" w:lineRule="exact"/>
        <w:ind w:firstLine="640"/>
        <w:rPr>
          <w:rFonts w:ascii="楷体_GB2312" w:eastAsia="楷体_GB2312" w:hAnsi="Arial" w:cs="Arial"/>
          <w:b/>
          <w:color w:val="000000"/>
          <w:kern w:val="0"/>
          <w:sz w:val="32"/>
          <w:szCs w:val="32"/>
        </w:rPr>
      </w:pPr>
      <w:r>
        <w:rPr>
          <w:rFonts w:ascii="楷体_GB2312" w:eastAsia="楷体_GB2312" w:hAnsi="Arial" w:cs="Arial" w:hint="eastAsia"/>
          <w:b/>
          <w:color w:val="000000"/>
          <w:kern w:val="0"/>
          <w:sz w:val="32"/>
          <w:szCs w:val="32"/>
        </w:rPr>
        <w:t>（五</w:t>
      </w:r>
      <w:r w:rsidR="00053B83" w:rsidRPr="007027E8">
        <w:rPr>
          <w:rFonts w:ascii="楷体_GB2312" w:eastAsia="楷体_GB2312" w:hAnsi="Arial" w:cs="Arial" w:hint="eastAsia"/>
          <w:b/>
          <w:color w:val="000000"/>
          <w:kern w:val="0"/>
          <w:sz w:val="32"/>
          <w:szCs w:val="32"/>
        </w:rPr>
        <w:t>）依申请公开政府信息情况</w:t>
      </w:r>
    </w:p>
    <w:p w:rsidR="00805469" w:rsidRDefault="00053B83" w:rsidP="0058386A">
      <w:pPr>
        <w:pStyle w:val="a3"/>
        <w:spacing w:before="0" w:beforeAutospacing="0" w:after="0" w:afterAutospacing="0" w:line="560" w:lineRule="exact"/>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没有发生依申请公开信息情况</w:t>
      </w:r>
      <w:r w:rsidR="0058386A">
        <w:rPr>
          <w:rFonts w:ascii="仿宋_GB2312" w:eastAsia="仿宋_GB2312" w:hAnsi="Arial" w:cs="Arial" w:hint="eastAsia"/>
          <w:color w:val="000000"/>
          <w:sz w:val="32"/>
          <w:szCs w:val="32"/>
        </w:rPr>
        <w:t>。</w:t>
      </w:r>
    </w:p>
    <w:p w:rsidR="00805469" w:rsidRDefault="00805469" w:rsidP="0058386A">
      <w:pPr>
        <w:spacing w:line="560" w:lineRule="exact"/>
        <w:ind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9185" w:type="dxa"/>
        <w:tblLayout w:type="fixed"/>
        <w:tblCellMar>
          <w:left w:w="0" w:type="dxa"/>
          <w:right w:w="0" w:type="dxa"/>
        </w:tblCellMar>
        <w:tblLook w:val="04A0" w:firstRow="1" w:lastRow="0" w:firstColumn="1" w:lastColumn="0" w:noHBand="0" w:noVBand="1"/>
      </w:tblPr>
      <w:tblGrid>
        <w:gridCol w:w="2630"/>
        <w:gridCol w:w="2295"/>
        <w:gridCol w:w="2010"/>
        <w:gridCol w:w="2250"/>
      </w:tblGrid>
      <w:tr w:rsidR="00805469" w:rsidTr="00976251">
        <w:trPr>
          <w:trHeight w:val="79"/>
        </w:trPr>
        <w:tc>
          <w:tcPr>
            <w:tcW w:w="918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第二十条第（一）项</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信息内容</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本年新制作数量</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本年新公开数量</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对外公开总数量</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规章</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规范性文件</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805469" w:rsidTr="00976251">
        <w:trPr>
          <w:trHeight w:val="79"/>
        </w:trPr>
        <w:tc>
          <w:tcPr>
            <w:tcW w:w="918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第二十条第（五）项</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信息内容</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上一年项目数量</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本年增/减</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处理决定数量</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行政许可</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其他对外管理服务事项</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805469" w:rsidTr="00976251">
        <w:trPr>
          <w:trHeight w:val="79"/>
        </w:trPr>
        <w:tc>
          <w:tcPr>
            <w:tcW w:w="918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第二十条第（六）项</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信息内容</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上一年项目数量</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本年增/减</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处理决定数量</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行政处罚</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行政强制</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805469" w:rsidTr="00976251">
        <w:trPr>
          <w:trHeight w:val="79"/>
        </w:trPr>
        <w:tc>
          <w:tcPr>
            <w:tcW w:w="918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第二十条第（八）项</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信息内容</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上一年项目数量</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本年增/减</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行政事业性收费</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0</w:t>
            </w:r>
          </w:p>
        </w:tc>
      </w:tr>
      <w:tr w:rsidR="00805469" w:rsidTr="00976251">
        <w:trPr>
          <w:trHeight w:val="79"/>
        </w:trPr>
        <w:tc>
          <w:tcPr>
            <w:tcW w:w="918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第二十条第（九）项</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信息内容</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采购项目数量</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proofErr w:type="gramStart"/>
            <w:r>
              <w:rPr>
                <w:rFonts w:ascii="方正小标宋简体" w:eastAsia="方正小标宋简体" w:hAnsi="方正小标宋简体" w:cs="方正小标宋简体" w:hint="eastAsia"/>
                <w:color w:val="000000"/>
                <w:kern w:val="0"/>
                <w:sz w:val="24"/>
              </w:rPr>
              <w:t>采购总</w:t>
            </w:r>
            <w:proofErr w:type="gramEnd"/>
            <w:r>
              <w:rPr>
                <w:rFonts w:ascii="方正小标宋简体" w:eastAsia="方正小标宋简体" w:hAnsi="方正小标宋简体" w:cs="方正小标宋简体" w:hint="eastAsia"/>
                <w:color w:val="000000"/>
                <w:kern w:val="0"/>
                <w:sz w:val="24"/>
              </w:rPr>
              <w:t>金额</w:t>
            </w:r>
          </w:p>
        </w:tc>
      </w:tr>
      <w:tr w:rsidR="00805469" w:rsidTr="00976251">
        <w:trPr>
          <w:trHeight w:val="79"/>
        </w:trPr>
        <w:tc>
          <w:tcPr>
            <w:tcW w:w="2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805469"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政府集中采购</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1</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05469" w:rsidRDefault="0058386A" w:rsidP="0058386A">
            <w:pPr>
              <w:jc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sz w:val="24"/>
              </w:rPr>
              <w:t>295000元</w:t>
            </w:r>
          </w:p>
        </w:tc>
      </w:tr>
    </w:tbl>
    <w:p w:rsidR="0058386A" w:rsidRDefault="0058386A" w:rsidP="0058386A">
      <w:pPr>
        <w:rPr>
          <w:rFonts w:ascii="黑体" w:eastAsia="黑体" w:hAnsi="黑体" w:cs="黑体"/>
          <w:sz w:val="32"/>
          <w:szCs w:val="32"/>
        </w:rPr>
      </w:pPr>
    </w:p>
    <w:p w:rsidR="0058386A" w:rsidRDefault="0058386A" w:rsidP="0058386A">
      <w:pPr>
        <w:rPr>
          <w:rFonts w:ascii="黑体" w:eastAsia="黑体" w:hAnsi="黑体" w:cs="黑体"/>
          <w:sz w:val="32"/>
          <w:szCs w:val="32"/>
        </w:rPr>
      </w:pPr>
    </w:p>
    <w:p w:rsidR="00805469" w:rsidRDefault="00805469" w:rsidP="00805469">
      <w:pPr>
        <w:ind w:firstLineChars="200" w:firstLine="640"/>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W w:w="9215" w:type="dxa"/>
        <w:tblLayout w:type="fixed"/>
        <w:tblCellMar>
          <w:left w:w="0" w:type="dxa"/>
          <w:right w:w="0" w:type="dxa"/>
        </w:tblCellMar>
        <w:tblLook w:val="04A0" w:firstRow="1" w:lastRow="0" w:firstColumn="1" w:lastColumn="0" w:noHBand="0" w:noVBand="1"/>
      </w:tblPr>
      <w:tblGrid>
        <w:gridCol w:w="570"/>
        <w:gridCol w:w="1130"/>
        <w:gridCol w:w="3045"/>
        <w:gridCol w:w="810"/>
        <w:gridCol w:w="630"/>
        <w:gridCol w:w="600"/>
        <w:gridCol w:w="570"/>
        <w:gridCol w:w="660"/>
        <w:gridCol w:w="600"/>
        <w:gridCol w:w="600"/>
      </w:tblGrid>
      <w:tr w:rsidR="00805469" w:rsidTr="00976251">
        <w:trPr>
          <w:trHeight w:val="680"/>
        </w:trPr>
        <w:tc>
          <w:tcPr>
            <w:tcW w:w="47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（本列数据的勾</w:t>
            </w:r>
            <w:proofErr w:type="gramStart"/>
            <w:r>
              <w:rPr>
                <w:rFonts w:ascii="方正小标宋简体" w:eastAsia="方正小标宋简体" w:hAnsi="方正小标宋简体" w:cs="方正小标宋简体" w:hint="eastAsia"/>
                <w:color w:val="000000"/>
                <w:kern w:val="0"/>
                <w:sz w:val="24"/>
              </w:rPr>
              <w:t>稽</w:t>
            </w:r>
            <w:proofErr w:type="gramEnd"/>
            <w:r>
              <w:rPr>
                <w:rFonts w:ascii="方正小标宋简体" w:eastAsia="方正小标宋简体" w:hAnsi="方正小标宋简体" w:cs="方正小标宋简体" w:hint="eastAsia"/>
                <w:color w:val="000000"/>
                <w:kern w:val="0"/>
                <w:sz w:val="24"/>
              </w:rPr>
              <w:t>关系为：第一项加第二项之和，等于第三项加第四项之和）</w:t>
            </w:r>
          </w:p>
        </w:tc>
        <w:tc>
          <w:tcPr>
            <w:tcW w:w="447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申请人情况</w:t>
            </w:r>
          </w:p>
        </w:tc>
      </w:tr>
      <w:tr w:rsidR="00805469" w:rsidTr="00976251">
        <w:trPr>
          <w:trHeight w:val="360"/>
        </w:trPr>
        <w:tc>
          <w:tcPr>
            <w:tcW w:w="474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jc w:val="center"/>
              <w:rPr>
                <w:rFonts w:ascii="方正小标宋简体" w:eastAsia="方正小标宋简体" w:hAnsi="方正小标宋简体" w:cs="方正小标宋简体"/>
                <w:color w:val="000000"/>
                <w:sz w:val="24"/>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自然人</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法人或其他组织</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总计</w:t>
            </w:r>
          </w:p>
        </w:tc>
      </w:tr>
      <w:tr w:rsidR="00805469" w:rsidTr="00976251">
        <w:trPr>
          <w:trHeight w:val="1040"/>
        </w:trPr>
        <w:tc>
          <w:tcPr>
            <w:tcW w:w="474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jc w:val="center"/>
              <w:rPr>
                <w:rFonts w:ascii="方正小标宋简体" w:eastAsia="方正小标宋简体" w:hAnsi="方正小标宋简体" w:cs="方正小标宋简体"/>
                <w:color w:val="000000"/>
                <w:sz w:val="24"/>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jc w:val="center"/>
              <w:rPr>
                <w:rFonts w:ascii="方正小标宋简体" w:eastAsia="方正小标宋简体" w:hAnsi="方正小标宋简体" w:cs="方正小标宋简体"/>
                <w:color w:val="000000"/>
                <w:sz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商业企业</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科研机构</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社会公益组织</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法律服务机构</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其他</w:t>
            </w: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jc w:val="center"/>
              <w:rPr>
                <w:rFonts w:ascii="方正小标宋简体" w:eastAsia="方正小标宋简体" w:hAnsi="方正小标宋简体" w:cs="方正小标宋简体"/>
                <w:color w:val="000000"/>
                <w:sz w:val="24"/>
              </w:rPr>
            </w:pPr>
          </w:p>
        </w:tc>
      </w:tr>
      <w:tr w:rsidR="00805469" w:rsidTr="00976251">
        <w:trPr>
          <w:trHeight w:val="600"/>
        </w:trPr>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一、本年新收政府信息公开申请数量</w:t>
            </w:r>
          </w:p>
        </w:tc>
        <w:tc>
          <w:tcPr>
            <w:tcW w:w="8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00"/>
        </w:trPr>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二、上年结转政府信息公开申请数量</w:t>
            </w:r>
          </w:p>
        </w:tc>
        <w:tc>
          <w:tcPr>
            <w:tcW w:w="8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360"/>
        </w:trPr>
        <w:tc>
          <w:tcPr>
            <w:tcW w:w="57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三、本年度办理结果</w:t>
            </w:r>
          </w:p>
        </w:tc>
        <w:tc>
          <w:tcPr>
            <w:tcW w:w="4175"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（一）予以公开</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0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41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（二）部分公开（区分处理的，只计这一情形，不计其他情形）</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3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（三）不予公开</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1.属于国家秘密</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0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2.其他法律行政法规禁止公开</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58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3.危及“三安全</w:t>
            </w:r>
            <w:proofErr w:type="gramStart"/>
            <w:r>
              <w:rPr>
                <w:rFonts w:ascii="楷体" w:eastAsia="楷体" w:hAnsi="楷体" w:cs="楷体" w:hint="eastAsia"/>
                <w:color w:val="000000"/>
                <w:kern w:val="0"/>
                <w:sz w:val="24"/>
              </w:rPr>
              <w:t>一</w:t>
            </w:r>
            <w:proofErr w:type="gramEnd"/>
            <w:r>
              <w:rPr>
                <w:rFonts w:ascii="楷体" w:eastAsia="楷体" w:hAnsi="楷体" w:cs="楷体" w:hint="eastAsia"/>
                <w:color w:val="000000"/>
                <w:kern w:val="0"/>
                <w:sz w:val="24"/>
              </w:rPr>
              <w:t>稳定”</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58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4.保护第三方合法权益</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5.属于三类内部事务信息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2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6.属于四类过程性信息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7.属于行政执法案卷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8.属于行政查询事项</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0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（四）无法提供</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1.本机关不掌握相关政府信息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78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2.没有现成信息需要另行制作</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4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3.补正后申请内容仍不明确</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8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rPr>
              <w:t>（五）</w:t>
            </w:r>
            <w:proofErr w:type="gramStart"/>
            <w:r>
              <w:rPr>
                <w:rFonts w:ascii="楷体" w:eastAsia="楷体" w:hAnsi="楷体" w:cs="楷体" w:hint="eastAsia"/>
                <w:color w:val="000000"/>
                <w:kern w:val="0"/>
                <w:sz w:val="24"/>
              </w:rPr>
              <w:t>不予处理</w:t>
            </w:r>
            <w:proofErr w:type="gramEnd"/>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1.信访举报投诉类申请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3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2.重复申请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2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3.要求提供公开出版物</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62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4.无正当理由大量反复申请</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90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5.要求行政机关确认或重新出具已获取信息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3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41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（六）其他处理</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360"/>
        </w:trPr>
        <w:tc>
          <w:tcPr>
            <w:tcW w:w="5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jc w:val="center"/>
              <w:rPr>
                <w:rFonts w:ascii="楷体" w:eastAsia="楷体" w:hAnsi="楷体" w:cs="楷体"/>
                <w:color w:val="000000"/>
                <w:sz w:val="24"/>
              </w:rPr>
            </w:pPr>
          </w:p>
        </w:tc>
        <w:tc>
          <w:tcPr>
            <w:tcW w:w="41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jc w:val="left"/>
              <w:textAlignment w:val="center"/>
              <w:rPr>
                <w:rFonts w:ascii="楷体" w:eastAsia="楷体" w:hAnsi="楷体" w:cs="楷体"/>
                <w:color w:val="000000"/>
                <w:sz w:val="24"/>
              </w:rPr>
            </w:pPr>
            <w:r>
              <w:rPr>
                <w:rFonts w:ascii="楷体" w:eastAsia="楷体" w:hAnsi="楷体" w:cs="楷体" w:hint="eastAsia"/>
                <w:color w:val="000000"/>
                <w:kern w:val="0"/>
                <w:sz w:val="24"/>
              </w:rPr>
              <w:t>（七）总计</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r w:rsidR="0058386A" w:rsidTr="00976251">
        <w:trPr>
          <w:trHeight w:val="360"/>
        </w:trPr>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976251">
            <w:pPr>
              <w:widowControl/>
              <w:ind w:firstLineChars="100" w:firstLine="240"/>
              <w:jc w:val="left"/>
              <w:textAlignment w:val="center"/>
              <w:rPr>
                <w:rFonts w:ascii="方正小标宋简体" w:eastAsia="方正小标宋简体" w:hAnsi="方正小标宋简体" w:cs="方正小标宋简体"/>
                <w:color w:val="000000"/>
                <w:sz w:val="24"/>
              </w:rPr>
            </w:pPr>
            <w:r>
              <w:rPr>
                <w:rFonts w:ascii="方正小标宋简体" w:eastAsia="方正小标宋简体" w:hAnsi="方正小标宋简体" w:cs="方正小标宋简体" w:hint="eastAsia"/>
                <w:color w:val="000000"/>
                <w:kern w:val="0"/>
                <w:sz w:val="24"/>
              </w:rPr>
              <w:t>四、结转下年度继续办理</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86A" w:rsidRDefault="0058386A" w:rsidP="0058386A">
            <w:pPr>
              <w:jc w:val="center"/>
              <w:rPr>
                <w:rFonts w:ascii="宋体" w:eastAsia="宋体" w:hAnsi="宋体" w:cs="宋体"/>
                <w:color w:val="000000"/>
                <w:sz w:val="24"/>
              </w:rPr>
            </w:pPr>
            <w:r>
              <w:rPr>
                <w:rFonts w:ascii="宋体" w:eastAsia="宋体" w:hAnsi="宋体" w:cs="宋体" w:hint="eastAsia"/>
                <w:color w:val="000000"/>
                <w:sz w:val="24"/>
              </w:rPr>
              <w:t>0</w:t>
            </w:r>
          </w:p>
        </w:tc>
      </w:tr>
    </w:tbl>
    <w:p w:rsidR="00805469" w:rsidRDefault="00805469" w:rsidP="00805469">
      <w:pPr>
        <w:spacing w:line="360" w:lineRule="auto"/>
        <w:ind w:firstLineChars="200" w:firstLine="640"/>
        <w:contextualSpacing/>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230" w:type="dxa"/>
        <w:tblLayout w:type="fixed"/>
        <w:tblCellMar>
          <w:left w:w="0" w:type="dxa"/>
          <w:right w:w="0" w:type="dxa"/>
        </w:tblCellMar>
        <w:tblLook w:val="04A0" w:firstRow="1" w:lastRow="0" w:firstColumn="1" w:lastColumn="0" w:noHBand="0" w:noVBand="1"/>
      </w:tblPr>
      <w:tblGrid>
        <w:gridCol w:w="570"/>
        <w:gridCol w:w="615"/>
        <w:gridCol w:w="630"/>
        <w:gridCol w:w="675"/>
        <w:gridCol w:w="830"/>
        <w:gridCol w:w="525"/>
        <w:gridCol w:w="615"/>
        <w:gridCol w:w="570"/>
        <w:gridCol w:w="555"/>
        <w:gridCol w:w="660"/>
        <w:gridCol w:w="615"/>
        <w:gridCol w:w="555"/>
        <w:gridCol w:w="510"/>
        <w:gridCol w:w="570"/>
        <w:gridCol w:w="735"/>
      </w:tblGrid>
      <w:tr w:rsidR="00805469" w:rsidTr="00976251">
        <w:trPr>
          <w:trHeight w:val="360"/>
        </w:trPr>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行政复议</w:t>
            </w:r>
          </w:p>
        </w:tc>
        <w:tc>
          <w:tcPr>
            <w:tcW w:w="5910"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行政诉讼</w:t>
            </w:r>
          </w:p>
        </w:tc>
      </w:tr>
      <w:tr w:rsidR="00805469" w:rsidTr="00976251">
        <w:trPr>
          <w:trHeight w:val="78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结果维持</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结果纠正</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其他结果</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尚未审结</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总计</w:t>
            </w:r>
          </w:p>
        </w:tc>
        <w:tc>
          <w:tcPr>
            <w:tcW w:w="292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未经复议直接起诉</w:t>
            </w:r>
          </w:p>
        </w:tc>
        <w:tc>
          <w:tcPr>
            <w:tcW w:w="298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复议后起诉</w:t>
            </w:r>
          </w:p>
        </w:tc>
      </w:tr>
      <w:tr w:rsidR="00805469" w:rsidTr="00976251">
        <w:trPr>
          <w:trHeight w:val="780"/>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jc w:val="center"/>
              <w:rPr>
                <w:rFonts w:ascii="方正小标宋简体" w:eastAsia="方正小标宋简体" w:hAnsi="方正小标宋简体" w:cs="方正小标宋简体"/>
                <w:bCs/>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jc w:val="center"/>
              <w:rPr>
                <w:rFonts w:ascii="方正小标宋简体" w:eastAsia="方正小标宋简体" w:hAnsi="方正小标宋简体" w:cs="方正小标宋简体"/>
                <w:bCs/>
                <w:color w:val="000000"/>
                <w:sz w:val="24"/>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jc w:val="center"/>
              <w:rPr>
                <w:rFonts w:ascii="方正小标宋简体" w:eastAsia="方正小标宋简体" w:hAnsi="方正小标宋简体" w:cs="方正小标宋简体"/>
                <w:bCs/>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jc w:val="center"/>
              <w:rPr>
                <w:rFonts w:ascii="方正小标宋简体" w:eastAsia="方正小标宋简体" w:hAnsi="方正小标宋简体" w:cs="方正小标宋简体"/>
                <w:bCs/>
                <w:color w:val="000000"/>
                <w:sz w:val="24"/>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jc w:val="center"/>
              <w:rPr>
                <w:rFonts w:ascii="方正小标宋简体" w:eastAsia="方正小标宋简体" w:hAnsi="方正小标宋简体" w:cs="方正小标宋简体"/>
                <w:bCs/>
                <w:color w:val="000000"/>
                <w:sz w:val="24"/>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结果维持</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结果纠正</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其他结果</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尚未审结</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总计</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结果维持</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结果纠正</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其他结果</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尚未审结</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805469" w:rsidP="00976251">
            <w:pPr>
              <w:widowControl/>
              <w:jc w:val="center"/>
              <w:textAlignment w:val="center"/>
              <w:rPr>
                <w:rFonts w:ascii="方正小标宋简体" w:eastAsia="方正小标宋简体" w:hAnsi="方正小标宋简体" w:cs="方正小标宋简体"/>
                <w:bCs/>
                <w:color w:val="000000"/>
                <w:sz w:val="24"/>
              </w:rPr>
            </w:pPr>
            <w:r>
              <w:rPr>
                <w:rFonts w:ascii="方正小标宋简体" w:eastAsia="方正小标宋简体" w:hAnsi="方正小标宋简体" w:cs="方正小标宋简体" w:hint="eastAsia"/>
                <w:bCs/>
                <w:color w:val="000000"/>
                <w:kern w:val="0"/>
                <w:sz w:val="24"/>
              </w:rPr>
              <w:t>总计</w:t>
            </w:r>
          </w:p>
        </w:tc>
      </w:tr>
      <w:tr w:rsidR="00805469" w:rsidTr="0058386A">
        <w:trPr>
          <w:trHeight w:val="6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469" w:rsidRDefault="0058386A" w:rsidP="0058386A">
            <w:pPr>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r>
    </w:tbl>
    <w:p w:rsidR="00805469" w:rsidRDefault="00805469" w:rsidP="0058386A">
      <w:pPr>
        <w:numPr>
          <w:ilvl w:val="0"/>
          <w:numId w:val="1"/>
        </w:numPr>
        <w:spacing w:line="560" w:lineRule="exact"/>
        <w:ind w:firstLineChars="200" w:firstLine="640"/>
        <w:contextualSpacing/>
        <w:rPr>
          <w:rFonts w:ascii="黑体" w:eastAsia="黑体" w:hAnsi="黑体" w:cs="黑体"/>
          <w:sz w:val="32"/>
          <w:szCs w:val="32"/>
        </w:rPr>
      </w:pPr>
      <w:r>
        <w:rPr>
          <w:rFonts w:ascii="黑体" w:eastAsia="黑体" w:hAnsi="黑体" w:cs="黑体" w:hint="eastAsia"/>
          <w:sz w:val="32"/>
          <w:szCs w:val="32"/>
        </w:rPr>
        <w:t>存在的主要问题及改进情况</w:t>
      </w:r>
    </w:p>
    <w:p w:rsidR="00805469" w:rsidRDefault="00F363AE" w:rsidP="00EE2394">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2020年以来，我局虽然在政府信息公开工作方面取得一定成效，但对照标准要求，还存在信息公开形式有待拓展，公开载体还不够丰富的问题。下一步，我局将在思想上更加重视政府信息公开工作，切实增强工作的主动性，除及时在富阳区政府门户网站、微信公众号上公开信息外，</w:t>
      </w:r>
      <w:r w:rsidR="00D367C5">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充分利用报纸、电视等辅助形式做好相关信息公开工作。</w:t>
      </w:r>
    </w:p>
    <w:p w:rsidR="0058386A" w:rsidRDefault="00805469" w:rsidP="0058386A">
      <w:pPr>
        <w:numPr>
          <w:ilvl w:val="0"/>
          <w:numId w:val="1"/>
        </w:numPr>
        <w:spacing w:line="560" w:lineRule="exact"/>
        <w:ind w:firstLineChars="200" w:firstLine="640"/>
        <w:contextualSpacing/>
        <w:rPr>
          <w:rFonts w:ascii="黑体" w:eastAsia="黑体" w:hAnsi="黑体" w:cs="黑体"/>
          <w:sz w:val="32"/>
          <w:szCs w:val="32"/>
        </w:rPr>
      </w:pPr>
      <w:r>
        <w:rPr>
          <w:rFonts w:ascii="黑体" w:eastAsia="黑体" w:hAnsi="黑体" w:cs="黑体" w:hint="eastAsia"/>
          <w:sz w:val="32"/>
          <w:szCs w:val="32"/>
        </w:rPr>
        <w:t>其他需要报告的事项</w:t>
      </w:r>
    </w:p>
    <w:p w:rsidR="00816743" w:rsidRPr="0058386A" w:rsidRDefault="0058386A" w:rsidP="0058386A">
      <w:pPr>
        <w:spacing w:line="560" w:lineRule="exact"/>
        <w:ind w:leftChars="305" w:left="640" w:firstLineChars="100" w:firstLine="320"/>
        <w:contextualSpacing/>
        <w:rPr>
          <w:rFonts w:ascii="黑体" w:eastAsia="黑体" w:hAnsi="黑体" w:cs="黑体"/>
          <w:sz w:val="32"/>
          <w:szCs w:val="32"/>
        </w:rPr>
      </w:pPr>
      <w:r w:rsidRPr="0058386A">
        <w:rPr>
          <w:rFonts w:ascii="仿宋_GB2312" w:eastAsia="仿宋_GB2312" w:hAnsi="仿宋_GB2312" w:cs="仿宋_GB2312" w:hint="eastAsia"/>
          <w:sz w:val="32"/>
          <w:szCs w:val="32"/>
        </w:rPr>
        <w:lastRenderedPageBreak/>
        <w:t>无其他需要报告的事项。</w:t>
      </w:r>
    </w:p>
    <w:sectPr w:rsidR="00816743" w:rsidRPr="00583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99" w:rsidRDefault="008F4B99" w:rsidP="00EE2394">
      <w:r>
        <w:separator/>
      </w:r>
    </w:p>
  </w:endnote>
  <w:endnote w:type="continuationSeparator" w:id="0">
    <w:p w:rsidR="008F4B99" w:rsidRDefault="008F4B99" w:rsidP="00EE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99" w:rsidRDefault="008F4B99" w:rsidP="00EE2394">
      <w:r>
        <w:separator/>
      </w:r>
    </w:p>
  </w:footnote>
  <w:footnote w:type="continuationSeparator" w:id="0">
    <w:p w:rsidR="008F4B99" w:rsidRDefault="008F4B99" w:rsidP="00EE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E6B92"/>
    <w:multiLevelType w:val="singleLevel"/>
    <w:tmpl w:val="37FABFB6"/>
    <w:lvl w:ilvl="0">
      <w:start w:val="5"/>
      <w:numFmt w:val="chineseCounting"/>
      <w:suff w:val="nothing"/>
      <w:lvlText w:val="%1、"/>
      <w:lvlJc w:val="left"/>
      <w:rPr>
        <w:rFonts w:hint="eastAsia"/>
        <w:lang w:val="en-US"/>
      </w:rPr>
    </w:lvl>
  </w:abstractNum>
  <w:abstractNum w:abstractNumId="1">
    <w:nsid w:val="6E2F5F8A"/>
    <w:multiLevelType w:val="hybridMultilevel"/>
    <w:tmpl w:val="9C9443C2"/>
    <w:lvl w:ilvl="0" w:tplc="791A79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83"/>
    <w:rsid w:val="00053B83"/>
    <w:rsid w:val="00401B24"/>
    <w:rsid w:val="0042094A"/>
    <w:rsid w:val="00570C33"/>
    <w:rsid w:val="0058386A"/>
    <w:rsid w:val="00805469"/>
    <w:rsid w:val="00816743"/>
    <w:rsid w:val="008F4B99"/>
    <w:rsid w:val="00D367C5"/>
    <w:rsid w:val="00EE2394"/>
    <w:rsid w:val="00F363AE"/>
    <w:rsid w:val="00F8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8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3B83"/>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34"/>
    <w:qFormat/>
    <w:rsid w:val="00053B83"/>
    <w:pPr>
      <w:ind w:firstLineChars="200" w:firstLine="420"/>
    </w:pPr>
  </w:style>
  <w:style w:type="paragraph" w:styleId="a5">
    <w:name w:val="header"/>
    <w:basedOn w:val="a"/>
    <w:link w:val="Char"/>
    <w:uiPriority w:val="99"/>
    <w:unhideWhenUsed/>
    <w:rsid w:val="00EE2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E2394"/>
    <w:rPr>
      <w:sz w:val="18"/>
      <w:szCs w:val="18"/>
    </w:rPr>
  </w:style>
  <w:style w:type="paragraph" w:styleId="a6">
    <w:name w:val="footer"/>
    <w:basedOn w:val="a"/>
    <w:link w:val="Char0"/>
    <w:uiPriority w:val="99"/>
    <w:unhideWhenUsed/>
    <w:rsid w:val="00EE2394"/>
    <w:pPr>
      <w:tabs>
        <w:tab w:val="center" w:pos="4153"/>
        <w:tab w:val="right" w:pos="8306"/>
      </w:tabs>
      <w:snapToGrid w:val="0"/>
      <w:jc w:val="left"/>
    </w:pPr>
    <w:rPr>
      <w:sz w:val="18"/>
      <w:szCs w:val="18"/>
    </w:rPr>
  </w:style>
  <w:style w:type="character" w:customStyle="1" w:styleId="Char0">
    <w:name w:val="页脚 Char"/>
    <w:basedOn w:val="a0"/>
    <w:link w:val="a6"/>
    <w:uiPriority w:val="99"/>
    <w:rsid w:val="00EE23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8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3B83"/>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34"/>
    <w:qFormat/>
    <w:rsid w:val="00053B83"/>
    <w:pPr>
      <w:ind w:firstLineChars="200" w:firstLine="420"/>
    </w:pPr>
  </w:style>
  <w:style w:type="paragraph" w:styleId="a5">
    <w:name w:val="header"/>
    <w:basedOn w:val="a"/>
    <w:link w:val="Char"/>
    <w:uiPriority w:val="99"/>
    <w:unhideWhenUsed/>
    <w:rsid w:val="00EE2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E2394"/>
    <w:rPr>
      <w:sz w:val="18"/>
      <w:szCs w:val="18"/>
    </w:rPr>
  </w:style>
  <w:style w:type="paragraph" w:styleId="a6">
    <w:name w:val="footer"/>
    <w:basedOn w:val="a"/>
    <w:link w:val="Char0"/>
    <w:uiPriority w:val="99"/>
    <w:unhideWhenUsed/>
    <w:rsid w:val="00EE2394"/>
    <w:pPr>
      <w:tabs>
        <w:tab w:val="center" w:pos="4153"/>
        <w:tab w:val="right" w:pos="8306"/>
      </w:tabs>
      <w:snapToGrid w:val="0"/>
      <w:jc w:val="left"/>
    </w:pPr>
    <w:rPr>
      <w:sz w:val="18"/>
      <w:szCs w:val="18"/>
    </w:rPr>
  </w:style>
  <w:style w:type="character" w:customStyle="1" w:styleId="Char0">
    <w:name w:val="页脚 Char"/>
    <w:basedOn w:val="a0"/>
    <w:link w:val="a6"/>
    <w:uiPriority w:val="99"/>
    <w:rsid w:val="00EE23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洪丹丹</cp:lastModifiedBy>
  <cp:revision>8</cp:revision>
  <cp:lastPrinted>2021-01-19T07:48:00Z</cp:lastPrinted>
  <dcterms:created xsi:type="dcterms:W3CDTF">2021-01-19T01:33:00Z</dcterms:created>
  <dcterms:modified xsi:type="dcterms:W3CDTF">2021-03-23T06:39:00Z</dcterms:modified>
</cp:coreProperties>
</file>