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富阳区</w:t>
      </w:r>
      <w:r>
        <w:rPr>
          <w:rFonts w:hint="eastAsia" w:ascii="方正小标宋简体" w:hAnsi="方正小标宋简体" w:eastAsia="方正小标宋简体" w:cs="方正小标宋简体"/>
          <w:sz w:val="36"/>
          <w:szCs w:val="36"/>
          <w:lang w:eastAsia="zh-CN"/>
        </w:rPr>
        <w:t>统计</w:t>
      </w:r>
      <w:r>
        <w:rPr>
          <w:rFonts w:hint="eastAsia" w:ascii="方正小标宋简体" w:hAnsi="方正小标宋简体" w:eastAsia="方正小标宋简体" w:cs="方正小标宋简体"/>
          <w:sz w:val="36"/>
          <w:szCs w:val="36"/>
        </w:rPr>
        <w:t>局20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rPr>
        <w:t>年政府信息公开工作</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年度报告</w:t>
      </w:r>
    </w:p>
    <w:p>
      <w:pPr>
        <w:spacing w:line="560" w:lineRule="exact"/>
        <w:rPr>
          <w:rFonts w:ascii="仿宋_GB2312" w:hAnsi="宋体" w:eastAsia="仿宋_GB2312" w:cs="宋体"/>
          <w:sz w:val="30"/>
          <w:szCs w:val="30"/>
        </w:rPr>
      </w:pPr>
    </w:p>
    <w:p>
      <w:pPr>
        <w:spacing w:line="560" w:lineRule="exact"/>
        <w:ind w:firstLine="640" w:firstLineChars="200"/>
        <w:rPr>
          <w:rFonts w:hint="eastAsia" w:ascii="仿宋_GB2312" w:hAnsi="仿宋_GB2312" w:eastAsia="仿宋_GB2312" w:cs="仿宋_GB2312"/>
          <w:sz w:val="28"/>
          <w:szCs w:val="28"/>
          <w:lang w:val="en-US" w:eastAsia="zh-CN"/>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富阳区统计局</w:t>
      </w:r>
      <w:r>
        <w:rPr>
          <w:rFonts w:hint="eastAsia" w:ascii="仿宋_GB2312" w:hAnsi="仿宋_GB2312" w:eastAsia="仿宋_GB2312" w:cs="仿宋_GB2312"/>
          <w:sz w:val="28"/>
          <w:szCs w:val="28"/>
        </w:rPr>
        <w:t>共公开信息量</w:t>
      </w:r>
      <w:r>
        <w:rPr>
          <w:rFonts w:hint="eastAsia" w:ascii="仿宋_GB2312" w:hAnsi="仿宋_GB2312" w:eastAsia="仿宋_GB2312" w:cs="仿宋_GB2312"/>
          <w:sz w:val="28"/>
          <w:szCs w:val="28"/>
          <w:lang w:val="en-US" w:eastAsia="zh-CN"/>
        </w:rPr>
        <w:t>58</w:t>
      </w:r>
      <w:r>
        <w:rPr>
          <w:rFonts w:hint="eastAsia" w:ascii="仿宋_GB2312" w:hAnsi="仿宋_GB2312" w:eastAsia="仿宋_GB2312" w:cs="仿宋_GB2312"/>
          <w:sz w:val="28"/>
          <w:szCs w:val="28"/>
        </w:rPr>
        <w:t>条，其中统计分析</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条，财政信息</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条，其他工作信息</w:t>
      </w:r>
      <w:r>
        <w:rPr>
          <w:rFonts w:hint="eastAsia" w:ascii="仿宋_GB2312" w:hAnsi="仿宋_GB2312" w:eastAsia="仿宋_GB2312" w:cs="仿宋_GB2312"/>
          <w:sz w:val="28"/>
          <w:szCs w:val="28"/>
          <w:lang w:val="en-US" w:eastAsia="zh-CN"/>
        </w:rPr>
        <w:t>40</w:t>
      </w:r>
      <w:r>
        <w:rPr>
          <w:rFonts w:hint="eastAsia" w:ascii="仿宋_GB2312" w:hAnsi="仿宋_GB2312" w:eastAsia="仿宋_GB2312" w:cs="仿宋_GB2312"/>
          <w:sz w:val="28"/>
          <w:szCs w:val="28"/>
        </w:rPr>
        <w:t>条。收到1件政府信息公开申请，在规定时间内完成答复。</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eastAsia="zh-CN"/>
        </w:rPr>
        <w:t>政府信息公开管理</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区统计局以标准化、常态化、便民化为原则，对信息公开内容、依据、时限、渠道、载体、对象等信息进行全面梳理，形成了横向到边，纵向到底的《富阳区统计局政府信息标准化规范化公开目录》。在公开目录基础上，对重点工作进一步细化管理制度。一是强化分工责任落实，形成“一把手”亲自抓，分管领导主动抓，综合核算科室具体抓，明确专人具体负责政府信息公开内容维护。二是强化重点信息公开。及时将重点工作动</w:t>
      </w:r>
      <w:bookmarkStart w:id="0" w:name="_GoBack"/>
      <w:bookmarkEnd w:id="0"/>
      <w:r>
        <w:rPr>
          <w:rFonts w:hint="eastAsia" w:ascii="仿宋_GB2312" w:hAnsi="仿宋_GB2312" w:eastAsia="仿宋_GB2312" w:cs="仿宋_GB2312"/>
          <w:sz w:val="28"/>
          <w:szCs w:val="28"/>
          <w:highlight w:val="none"/>
        </w:rPr>
        <w:t>态及相关通知予以公开，及时发布统计数据。20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年，区统计局在政府信息公开平台上累计公开各类信息</w:t>
      </w:r>
      <w:r>
        <w:rPr>
          <w:rFonts w:hint="eastAsia" w:ascii="仿宋_GB2312" w:hAnsi="仿宋_GB2312" w:eastAsia="仿宋_GB2312" w:cs="仿宋_GB2312"/>
          <w:sz w:val="28"/>
          <w:szCs w:val="28"/>
          <w:highlight w:val="none"/>
          <w:lang w:val="en-US" w:eastAsia="zh-CN"/>
        </w:rPr>
        <w:t>58</w:t>
      </w:r>
      <w:r>
        <w:rPr>
          <w:rFonts w:hint="eastAsia" w:ascii="仿宋_GB2312" w:hAnsi="仿宋_GB2312" w:eastAsia="仿宋_GB2312" w:cs="仿宋_GB2312"/>
          <w:sz w:val="28"/>
          <w:szCs w:val="28"/>
          <w:highlight w:val="none"/>
        </w:rPr>
        <w:t>条。</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eastAsia="zh-CN"/>
        </w:rPr>
        <w:t>信息</w:t>
      </w:r>
      <w:r>
        <w:rPr>
          <w:rFonts w:hint="eastAsia" w:ascii="仿宋_GB2312" w:hAnsi="仿宋_GB2312" w:eastAsia="仿宋_GB2312" w:cs="仿宋_GB2312"/>
          <w:sz w:val="28"/>
          <w:szCs w:val="28"/>
          <w:highlight w:val="none"/>
        </w:rPr>
        <w:t>公开平台建设</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区统计局把政府信息公开平台建设作为深入推进政府信息公开工作的有力抓手，依托政府门户网站，新媒体等平台，为群众获取政府信息提供更多便利。一是着力发挥区政府门户网站的主渠道作用，及时做好各类统计数据网上发布，加强动态管理维护。二是成立新媒体小组，积极探索利用政务微信</w:t>
      </w:r>
      <w:r>
        <w:rPr>
          <w:rFonts w:hint="eastAsia" w:ascii="仿宋_GB2312" w:hAnsi="仿宋_GB2312" w:eastAsia="仿宋_GB2312" w:cs="仿宋_GB2312"/>
          <w:sz w:val="28"/>
          <w:szCs w:val="28"/>
          <w:highlight w:val="none"/>
          <w:lang w:eastAsia="zh-CN"/>
        </w:rPr>
        <w:t>、微博</w:t>
      </w:r>
      <w:r>
        <w:rPr>
          <w:rFonts w:hint="eastAsia" w:ascii="仿宋_GB2312" w:hAnsi="仿宋_GB2312" w:eastAsia="仿宋_GB2312" w:cs="仿宋_GB2312"/>
          <w:sz w:val="28"/>
          <w:szCs w:val="28"/>
          <w:highlight w:val="none"/>
        </w:rPr>
        <w:t>的互动功能，及时便捷地与公众进行互动交流。加大信息推送频度，采用多种形式开展统计数据解读、统计知识讲解和统计法制宣传</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年“富阳统计”官方微信共推送图文</w:t>
      </w:r>
      <w:r>
        <w:rPr>
          <w:rFonts w:hint="eastAsia" w:ascii="仿宋_GB2312" w:hAnsi="仿宋_GB2312" w:eastAsia="仿宋_GB2312" w:cs="仿宋_GB2312"/>
          <w:sz w:val="28"/>
          <w:szCs w:val="28"/>
          <w:highlight w:val="none"/>
          <w:lang w:val="en-US" w:eastAsia="zh-CN"/>
        </w:rPr>
        <w:t>72</w:t>
      </w:r>
      <w:r>
        <w:rPr>
          <w:rFonts w:hint="eastAsia" w:ascii="仿宋_GB2312" w:hAnsi="仿宋_GB2312" w:eastAsia="仿宋_GB2312" w:cs="仿宋_GB2312"/>
          <w:sz w:val="28"/>
          <w:szCs w:val="28"/>
          <w:highlight w:val="none"/>
        </w:rPr>
        <w:t>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信息公开</w:t>
      </w:r>
      <w:r>
        <w:rPr>
          <w:rFonts w:hint="eastAsia" w:ascii="仿宋_GB2312" w:hAnsi="仿宋_GB2312" w:eastAsia="仿宋_GB2312" w:cs="仿宋_GB2312"/>
          <w:sz w:val="28"/>
          <w:szCs w:val="28"/>
          <w:highlight w:val="none"/>
          <w:lang w:eastAsia="zh-CN"/>
        </w:rPr>
        <w:t>监督保障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区统计局围绕社会关切积极解读和回应</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在主动公开、咨询和依申请公开各项工作上开展优质服务，定期梳理社会持续关注的热点咨询，向社会公众予以公开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着力提升政府信息</w:t>
      </w:r>
      <w:r>
        <w:rPr>
          <w:rFonts w:hint="eastAsia" w:ascii="仿宋_GB2312" w:hAnsi="仿宋_GB2312" w:eastAsia="仿宋_GB2312" w:cs="仿宋_GB2312"/>
          <w:sz w:val="28"/>
          <w:szCs w:val="28"/>
        </w:rPr>
        <w:t>公开质量。一是建立信息发布前审查制度，加强发布前审核。认真梳理变更事项，提升公开信息的精确度、透明度。二是规范依申请公开答复工作。严格按照上级相关规定，认真审核每一份依申请公开的申请内容，规范依申请公开答复的文书格式，在20个工作日内办结依申请公告事项。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年区统计局收到1件政府信息公开申请，在规定时间内完成答复。</w:t>
      </w:r>
      <w:r>
        <w:rPr>
          <w:rFonts w:ascii="仿宋_GB2312" w:hAnsi="仿宋_GB2312" w:eastAsia="仿宋_GB2312" w:cs="仿宋_GB2312"/>
          <w:sz w:val="28"/>
          <w:szCs w:val="28"/>
        </w:rPr>
        <w:t xml:space="preserve"> </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2"/>
        <w:tblW w:w="9185" w:type="dxa"/>
        <w:tblInd w:w="0" w:type="dxa"/>
        <w:tblLayout w:type="fixed"/>
        <w:tblCellMar>
          <w:top w:w="0" w:type="dxa"/>
          <w:left w:w="0" w:type="dxa"/>
          <w:bottom w:w="0" w:type="dxa"/>
          <w:right w:w="0" w:type="dxa"/>
        </w:tblCellMar>
      </w:tblPr>
      <w:tblGrid>
        <w:gridCol w:w="2630"/>
        <w:gridCol w:w="2295"/>
        <w:gridCol w:w="2010"/>
        <w:gridCol w:w="2250"/>
      </w:tblGrid>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第二十条第（一）项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本年新制作数量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本年新公开数量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对外公开总数量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规章</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规范性文件</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第二十条第（五）项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上一年项目数量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本年增/减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行政许可</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其他对外管理服务事项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第二十条第（六）项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上一年项目数量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本年增/减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行政处罚</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12</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-3</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9</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行政强制</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kern w:val="2"/>
                <w:sz w:val="24"/>
                <w:szCs w:val="24"/>
                <w:lang w:val="en-US" w:eastAsia="zh-CN" w:bidi="ar-SA"/>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第二十条第（八）项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上一年项目数量</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本年增/减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行政事业性收费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第二十条第（九）项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采购项目数量</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采购总金额</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政府集中采购</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17</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24"/>
              </w:rPr>
              <w:t>439074.00</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2"/>
        <w:tblW w:w="9215" w:type="dxa"/>
        <w:tblInd w:w="0" w:type="dxa"/>
        <w:tblLayout w:type="fixed"/>
        <w:tblCellMar>
          <w:top w:w="0" w:type="dxa"/>
          <w:left w:w="0" w:type="dxa"/>
          <w:bottom w:w="0" w:type="dxa"/>
          <w:right w:w="0" w:type="dxa"/>
        </w:tblCellMar>
      </w:tblPr>
      <w:tblGrid>
        <w:gridCol w:w="570"/>
        <w:gridCol w:w="1130"/>
        <w:gridCol w:w="3045"/>
        <w:gridCol w:w="810"/>
        <w:gridCol w:w="630"/>
        <w:gridCol w:w="600"/>
        <w:gridCol w:w="570"/>
        <w:gridCol w:w="660"/>
        <w:gridCol w:w="600"/>
        <w:gridCol w:w="600"/>
      </w:tblGrid>
      <w:tr>
        <w:tblPrEx>
          <w:tblCellMar>
            <w:top w:w="0" w:type="dxa"/>
            <w:left w:w="0" w:type="dxa"/>
            <w:bottom w:w="0" w:type="dxa"/>
            <w:right w:w="0" w:type="dxa"/>
          </w:tblCellMar>
        </w:tblPrEx>
        <w:trPr>
          <w:trHeight w:val="680" w:hRule="atLeast"/>
        </w:trPr>
        <w:tc>
          <w:tcPr>
            <w:tcW w:w="47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（本列数据的勾稽关系为：第一项加第二项之和，等于第三项加第四项之和）</w:t>
            </w:r>
          </w:p>
        </w:tc>
        <w:tc>
          <w:tcPr>
            <w:tcW w:w="44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申请人情况</w:t>
            </w:r>
          </w:p>
        </w:tc>
      </w:tr>
      <w:tr>
        <w:tblPrEx>
          <w:tblCellMar>
            <w:top w:w="0" w:type="dxa"/>
            <w:left w:w="0" w:type="dxa"/>
            <w:bottom w:w="0" w:type="dxa"/>
            <w:right w:w="0" w:type="dxa"/>
          </w:tblCellMar>
        </w:tblPrEx>
        <w:trPr>
          <w:trHeight w:val="36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自然人</w:t>
            </w:r>
          </w:p>
        </w:tc>
        <w:tc>
          <w:tcPr>
            <w:tcW w:w="30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法人或其他组织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总计</w:t>
            </w:r>
          </w:p>
        </w:tc>
      </w:tr>
      <w:tr>
        <w:tblPrEx>
          <w:tblCellMar>
            <w:top w:w="0" w:type="dxa"/>
            <w:left w:w="0" w:type="dxa"/>
            <w:bottom w:w="0" w:type="dxa"/>
            <w:right w:w="0" w:type="dxa"/>
          </w:tblCellMar>
        </w:tblPrEx>
        <w:trPr>
          <w:trHeight w:val="104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商业企业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科研机构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社会公益组织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法律服务机构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其他</w:t>
            </w: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一、本年新收政府信息公开申请数量</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二、上年结转政府信息公开申请数量</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360" w:hRule="atLeast"/>
        </w:trPr>
        <w:tc>
          <w:tcPr>
            <w:tcW w:w="5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三、本年度办理结果</w:t>
            </w:r>
          </w:p>
        </w:tc>
        <w:tc>
          <w:tcPr>
            <w:tcW w:w="417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（一）予以公开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（二）部分公开（区分处理的，只计这一情形，不计其他情形）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（三）不予公开</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1.属于国家秘密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2.其他法律行政法规禁止公开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3.危及“三安全一稳定”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4.保护第三方合法权益</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5.属于三类内部事务信息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6.属于四类过程性信息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7.属于行政执法案卷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8.属于行政查询事项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（四）无法提供</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1.本机关不掌握相关政府信息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7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2.没有现成信息需要另行制作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4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3.补正后申请内容仍不明确</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（五）不予处理</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1.信访举报投诉类申请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2.重复申请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3.要求提供公开出版物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4.无正当理由大量反复申请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9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5.要求行政机关确认或重新出具已获取信息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（六）其他处理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color w:val="000000"/>
                <w:sz w:val="24"/>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（七）总计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r>
      <w:tr>
        <w:tblPrEx>
          <w:tblCellMar>
            <w:top w:w="0" w:type="dxa"/>
            <w:left w:w="0" w:type="dxa"/>
            <w:bottom w:w="0" w:type="dxa"/>
            <w:right w:w="0" w:type="dxa"/>
          </w:tblCellMar>
        </w:tblPrEx>
        <w:trPr>
          <w:trHeight w:val="36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四、结转下年度继续办理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0</w:t>
            </w:r>
          </w:p>
        </w:tc>
      </w:tr>
    </w:tbl>
    <w:p>
      <w:p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2"/>
        <w:tblW w:w="9230" w:type="dxa"/>
        <w:tblInd w:w="0" w:type="dxa"/>
        <w:tblLayout w:type="fixed"/>
        <w:tblCellMar>
          <w:top w:w="0" w:type="dxa"/>
          <w:left w:w="0" w:type="dxa"/>
          <w:bottom w:w="0" w:type="dxa"/>
          <w:right w:w="0" w:type="dxa"/>
        </w:tblCellMar>
      </w:tblPr>
      <w:tblGrid>
        <w:gridCol w:w="570"/>
        <w:gridCol w:w="615"/>
        <w:gridCol w:w="630"/>
        <w:gridCol w:w="675"/>
        <w:gridCol w:w="830"/>
        <w:gridCol w:w="525"/>
        <w:gridCol w:w="615"/>
        <w:gridCol w:w="570"/>
        <w:gridCol w:w="555"/>
        <w:gridCol w:w="660"/>
        <w:gridCol w:w="615"/>
        <w:gridCol w:w="555"/>
        <w:gridCol w:w="510"/>
        <w:gridCol w:w="570"/>
        <w:gridCol w:w="735"/>
      </w:tblGrid>
      <w:tr>
        <w:tblPrEx>
          <w:tblCellMar>
            <w:top w:w="0" w:type="dxa"/>
            <w:left w:w="0" w:type="dxa"/>
            <w:bottom w:w="0" w:type="dxa"/>
            <w:right w:w="0" w:type="dxa"/>
          </w:tblCellMar>
        </w:tblPrEx>
        <w:trPr>
          <w:trHeight w:val="360" w:hRule="atLeast"/>
        </w:trPr>
        <w:tc>
          <w:tcPr>
            <w:tcW w:w="33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行政复议</w:t>
            </w:r>
          </w:p>
        </w:tc>
        <w:tc>
          <w:tcPr>
            <w:tcW w:w="591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行政诉讼</w:t>
            </w:r>
          </w:p>
        </w:tc>
      </w:tr>
      <w:tr>
        <w:tblPrEx>
          <w:tblCellMar>
            <w:top w:w="0" w:type="dxa"/>
            <w:left w:w="0" w:type="dxa"/>
            <w:bottom w:w="0" w:type="dxa"/>
            <w:right w:w="0" w:type="dxa"/>
          </w:tblCellMar>
        </w:tblPrEx>
        <w:trPr>
          <w:trHeight w:val="7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c>
          <w:tcPr>
            <w:tcW w:w="29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未经复议直接起诉</w:t>
            </w:r>
          </w:p>
        </w:tc>
        <w:tc>
          <w:tcPr>
            <w:tcW w:w="29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复议后起诉</w:t>
            </w:r>
          </w:p>
        </w:tc>
      </w:tr>
      <w:tr>
        <w:tblPrEx>
          <w:tblCellMar>
            <w:top w:w="0" w:type="dxa"/>
            <w:left w:w="0" w:type="dxa"/>
            <w:bottom w:w="0" w:type="dxa"/>
            <w:right w:w="0" w:type="dxa"/>
          </w:tblCellMar>
        </w:tblPrEx>
        <w:trPr>
          <w:trHeight w:val="7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r>
      <w:tr>
        <w:tblPrEx>
          <w:tblCellMar>
            <w:top w:w="0" w:type="dxa"/>
            <w:left w:w="0" w:type="dxa"/>
            <w:bottom w:w="0" w:type="dxa"/>
            <w:right w:w="0" w:type="dxa"/>
          </w:tblCellMar>
        </w:tblPrEx>
        <w:trPr>
          <w:trHeight w:val="8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r>
    </w:tbl>
    <w:p>
      <w:pPr>
        <w:numPr>
          <w:ilvl w:val="0"/>
          <w:numId w:val="2"/>
        </w:numPr>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存在的主要问题及改进情况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contextualSpacing/>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（一）存在问题：</w:t>
      </w:r>
      <w:r>
        <w:rPr>
          <w:rFonts w:hint="eastAsia" w:ascii="仿宋_GB2312" w:hAnsi="仿宋_GB2312" w:eastAsia="仿宋_GB2312" w:cs="仿宋_GB2312"/>
          <w:sz w:val="28"/>
          <w:szCs w:val="28"/>
          <w:lang w:eastAsia="zh-CN"/>
        </w:rPr>
        <w:t>一是</w:t>
      </w:r>
      <w:r>
        <w:rPr>
          <w:rFonts w:hint="eastAsia" w:ascii="仿宋_GB2312" w:hAnsi="仿宋_GB2312" w:eastAsia="仿宋_GB2312" w:cs="仿宋_GB2312"/>
          <w:sz w:val="28"/>
          <w:szCs w:val="28"/>
        </w:rPr>
        <w:t>信息公开规范性有待加强。</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是各科室政务信息公开意识有待提高</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contextualSpacing/>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（二）改进</w:t>
      </w:r>
      <w:r>
        <w:rPr>
          <w:rFonts w:hint="eastAsia" w:ascii="仿宋_GB2312" w:hAnsi="仿宋_GB2312" w:eastAsia="仿宋_GB2312" w:cs="仿宋_GB2312"/>
          <w:sz w:val="28"/>
          <w:szCs w:val="28"/>
          <w:lang w:eastAsia="zh-CN"/>
        </w:rPr>
        <w:t>措施</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一是</w:t>
      </w:r>
      <w:r>
        <w:rPr>
          <w:rFonts w:hint="eastAsia" w:ascii="仿宋_GB2312" w:hAnsi="仿宋_GB2312" w:eastAsia="仿宋_GB2312" w:cs="仿宋_GB2312"/>
          <w:sz w:val="28"/>
          <w:szCs w:val="28"/>
        </w:rPr>
        <w:t>加强日常管理，对负责提供局政务公开内容的相关人员加强培训，规范信息公开格式和内容并做好答复依申请公开政府信息工作</w:t>
      </w:r>
      <w:r>
        <w:rPr>
          <w:rFonts w:hint="eastAsia" w:ascii="仿宋_GB2312" w:hAnsi="仿宋_GB2312" w:eastAsia="仿宋_GB2312" w:cs="仿宋_GB2312"/>
          <w:sz w:val="28"/>
          <w:szCs w:val="28"/>
          <w:lang w:eastAsia="zh-CN"/>
        </w:rPr>
        <w:t>。二是</w:t>
      </w:r>
      <w:r>
        <w:rPr>
          <w:rFonts w:hint="eastAsia" w:ascii="仿宋_GB2312" w:hAnsi="仿宋_GB2312" w:eastAsia="仿宋_GB2312" w:cs="仿宋_GB2312"/>
          <w:sz w:val="28"/>
          <w:szCs w:val="28"/>
        </w:rPr>
        <w:t>加强科室沟通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具体负责信息公开的工作人员</w:t>
      </w:r>
      <w:r>
        <w:rPr>
          <w:rFonts w:hint="eastAsia" w:ascii="仿宋_GB2312" w:hAnsi="仿宋_GB2312" w:eastAsia="仿宋_GB2312" w:cs="仿宋_GB2312"/>
          <w:sz w:val="28"/>
          <w:szCs w:val="28"/>
          <w:lang w:eastAsia="zh-CN"/>
        </w:rPr>
        <w:t>应</w:t>
      </w:r>
      <w:r>
        <w:rPr>
          <w:rFonts w:hint="eastAsia" w:ascii="仿宋_GB2312" w:hAnsi="仿宋_GB2312" w:eastAsia="仿宋_GB2312" w:cs="仿宋_GB2312"/>
          <w:sz w:val="28"/>
          <w:szCs w:val="28"/>
        </w:rPr>
        <w:t>及时与各科室沟通和落实，确保信息公开的及时性、全面性与准确性</w:t>
      </w:r>
      <w:r>
        <w:rPr>
          <w:rFonts w:hint="eastAsia" w:ascii="仿宋_GB2312" w:hAnsi="仿宋_GB2312" w:eastAsia="仿宋_GB2312" w:cs="仿宋_GB2312"/>
          <w:sz w:val="28"/>
          <w:szCs w:val="28"/>
          <w:lang w:eastAsia="zh-CN"/>
        </w:rPr>
        <w:t>。</w:t>
      </w:r>
    </w:p>
    <w:p>
      <w:pPr>
        <w:spacing w:line="360" w:lineRule="auto"/>
        <w:ind w:firstLine="640" w:firstLineChars="200"/>
        <w:contextualSpacing/>
        <w:jc w:val="left"/>
        <w:rPr>
          <w:rFonts w:ascii="黑体" w:hAnsi="黑体" w:eastAsia="黑体" w:cs="黑体"/>
          <w:sz w:val="32"/>
          <w:szCs w:val="32"/>
        </w:rPr>
      </w:pPr>
      <w:r>
        <w:rPr>
          <w:rFonts w:hint="eastAsia" w:ascii="黑体" w:hAnsi="黑体" w:eastAsia="黑体" w:cs="黑体"/>
          <w:sz w:val="32"/>
          <w:szCs w:val="32"/>
        </w:rPr>
        <w:t>六、其他需要报告的事项</w:t>
      </w:r>
    </w:p>
    <w:p>
      <w:pPr>
        <w:spacing w:line="360" w:lineRule="auto"/>
        <w:ind w:firstLine="560" w:firstLineChars="200"/>
        <w:contextualSpacing/>
      </w:pPr>
      <w:r>
        <w:rPr>
          <w:rFonts w:hint="eastAsia" w:ascii="仿宋_GB2312" w:hAnsi="仿宋_GB2312" w:eastAsia="仿宋_GB2312" w:cs="仿宋_GB2312"/>
          <w:sz w:val="28"/>
          <w:szCs w:val="28"/>
        </w:rPr>
        <w:t>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E6B92"/>
    <w:multiLevelType w:val="singleLevel"/>
    <w:tmpl w:val="C96E6B92"/>
    <w:lvl w:ilvl="0" w:tentative="0">
      <w:start w:val="5"/>
      <w:numFmt w:val="chineseCounting"/>
      <w:suff w:val="nothing"/>
      <w:lvlText w:val="%1、"/>
      <w:lvlJc w:val="left"/>
      <w:rPr>
        <w:rFonts w:hint="eastAsia"/>
      </w:rPr>
    </w:lvl>
  </w:abstractNum>
  <w:abstractNum w:abstractNumId="1">
    <w:nsid w:val="589718B3"/>
    <w:multiLevelType w:val="singleLevel"/>
    <w:tmpl w:val="589718B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973E5"/>
    <w:rsid w:val="0006353E"/>
    <w:rsid w:val="00AE4D43"/>
    <w:rsid w:val="0247090C"/>
    <w:rsid w:val="030633DE"/>
    <w:rsid w:val="0415156D"/>
    <w:rsid w:val="046C77DF"/>
    <w:rsid w:val="04B904A7"/>
    <w:rsid w:val="04E0563B"/>
    <w:rsid w:val="05C6324E"/>
    <w:rsid w:val="06316FA6"/>
    <w:rsid w:val="0632694B"/>
    <w:rsid w:val="09657DB8"/>
    <w:rsid w:val="0DA973E5"/>
    <w:rsid w:val="12412CAE"/>
    <w:rsid w:val="12646B90"/>
    <w:rsid w:val="173164D5"/>
    <w:rsid w:val="18956579"/>
    <w:rsid w:val="19F71969"/>
    <w:rsid w:val="1A6503EC"/>
    <w:rsid w:val="1DD328AB"/>
    <w:rsid w:val="1E1E198D"/>
    <w:rsid w:val="1F581213"/>
    <w:rsid w:val="202C6F2E"/>
    <w:rsid w:val="225C4D1E"/>
    <w:rsid w:val="281357D7"/>
    <w:rsid w:val="286E052F"/>
    <w:rsid w:val="29EA3786"/>
    <w:rsid w:val="2A9744C1"/>
    <w:rsid w:val="2B6C5248"/>
    <w:rsid w:val="2D1160EC"/>
    <w:rsid w:val="2D4E39C9"/>
    <w:rsid w:val="2DA65F5A"/>
    <w:rsid w:val="2F116E5A"/>
    <w:rsid w:val="2F723A05"/>
    <w:rsid w:val="31C67C3F"/>
    <w:rsid w:val="32483D54"/>
    <w:rsid w:val="33950060"/>
    <w:rsid w:val="3424266F"/>
    <w:rsid w:val="35683A37"/>
    <w:rsid w:val="35D215A3"/>
    <w:rsid w:val="36577BBC"/>
    <w:rsid w:val="3C627CD3"/>
    <w:rsid w:val="3D823E87"/>
    <w:rsid w:val="3D982C2C"/>
    <w:rsid w:val="3DD35B2C"/>
    <w:rsid w:val="3E6E7058"/>
    <w:rsid w:val="42540D40"/>
    <w:rsid w:val="42B635AB"/>
    <w:rsid w:val="43976883"/>
    <w:rsid w:val="454C60CC"/>
    <w:rsid w:val="45F776AA"/>
    <w:rsid w:val="47A93EB3"/>
    <w:rsid w:val="48230E9F"/>
    <w:rsid w:val="49925524"/>
    <w:rsid w:val="49C92179"/>
    <w:rsid w:val="4B4E0D2E"/>
    <w:rsid w:val="4CB4788A"/>
    <w:rsid w:val="4E3778C1"/>
    <w:rsid w:val="50667F78"/>
    <w:rsid w:val="536E06BA"/>
    <w:rsid w:val="53ED07C3"/>
    <w:rsid w:val="544D6927"/>
    <w:rsid w:val="556C21C0"/>
    <w:rsid w:val="573B3A4B"/>
    <w:rsid w:val="58720E82"/>
    <w:rsid w:val="59E35331"/>
    <w:rsid w:val="59E364EC"/>
    <w:rsid w:val="5A716E0E"/>
    <w:rsid w:val="5AFD71F0"/>
    <w:rsid w:val="5C477C98"/>
    <w:rsid w:val="5DD11764"/>
    <w:rsid w:val="5F721D78"/>
    <w:rsid w:val="5F7A0412"/>
    <w:rsid w:val="60B3541F"/>
    <w:rsid w:val="61A60AD8"/>
    <w:rsid w:val="626A611F"/>
    <w:rsid w:val="6312776D"/>
    <w:rsid w:val="63EC7B27"/>
    <w:rsid w:val="64180B3C"/>
    <w:rsid w:val="64EA39B4"/>
    <w:rsid w:val="65D16986"/>
    <w:rsid w:val="67B4326C"/>
    <w:rsid w:val="6DF64FDE"/>
    <w:rsid w:val="6EA54791"/>
    <w:rsid w:val="6FD05B03"/>
    <w:rsid w:val="70836880"/>
    <w:rsid w:val="70B80D9D"/>
    <w:rsid w:val="70DB5D10"/>
    <w:rsid w:val="712A1333"/>
    <w:rsid w:val="718D1C0C"/>
    <w:rsid w:val="71EF204F"/>
    <w:rsid w:val="72303162"/>
    <w:rsid w:val="729B1034"/>
    <w:rsid w:val="72E27ECB"/>
    <w:rsid w:val="7417787D"/>
    <w:rsid w:val="748226E4"/>
    <w:rsid w:val="758E6337"/>
    <w:rsid w:val="764B4216"/>
    <w:rsid w:val="7BC2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Emphasis"/>
    <w:basedOn w:val="3"/>
    <w:qFormat/>
    <w:uiPriority w:val="0"/>
  </w:style>
  <w:style w:type="character" w:styleId="6">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2021-01-11T10:46:00Z</dcterms:created>
  <dc:creator>陈cqq</dc:creator>
  <cp:lastModifiedBy>陈cqq</cp:lastModifiedBy>
  <dcterms:modified xsi:type="dcterms:W3CDTF">2021-03-23T08:13:29Z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59E13117C01D486CBF3D0511A71B1E4C</vt:lpwstr>
  </property>
</Properties>
</file>