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05" w:rsidRDefault="0077656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富阳区灵桥镇人民政府2020年政府信息公开工作年度报告</w:t>
      </w:r>
    </w:p>
    <w:p w:rsidR="00F82D05" w:rsidRDefault="00F82D05" w:rsidP="00A71851">
      <w:pPr>
        <w:spacing w:line="560" w:lineRule="exact"/>
        <w:rPr>
          <w:rFonts w:ascii="仿宋_GB2312" w:eastAsia="仿宋_GB2312" w:hAnsi="宋体" w:cs="宋体"/>
          <w:sz w:val="30"/>
          <w:szCs w:val="30"/>
        </w:rPr>
      </w:pPr>
    </w:p>
    <w:p w:rsidR="00F82D05" w:rsidRDefault="00776563" w:rsidP="00A7185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F82D05" w:rsidRDefault="00776563" w:rsidP="00A718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信息公开条例》第五十条规定》和《关于政府信息公开工作年度报告有关事项的通知》（国办公开办函〔2019〕60号）要求，做好杭州市富阳区灵桥镇人民政府2020年度政府信息公开工作年度报告。现将工作情况报告如下：</w:t>
      </w:r>
    </w:p>
    <w:p w:rsidR="00C70BBC" w:rsidRDefault="00C70BBC" w:rsidP="00A71851">
      <w:pPr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（一）主动公开</w:t>
      </w:r>
    </w:p>
    <w:p w:rsidR="00C70BBC" w:rsidRDefault="00776563" w:rsidP="00A71851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我镇通过政府门户网站公开信息239条，通过“富阳灵桥”微信公众号公开信息677条，主要涉及财政信息、人事招聘、公示公告、法治建设、基层工作动态等。2020年“富阳灵桥”微信公众号订阅人数5515人，较上年度增14%，政府信息公开受众面进一步扩大，有效保障群众的知情权。</w:t>
      </w:r>
    </w:p>
    <w:p w:rsidR="00C70BBC" w:rsidRPr="00C70BBC" w:rsidRDefault="00C70BBC" w:rsidP="00A71851">
      <w:pPr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 w:rsidRPr="00C70BBC">
        <w:rPr>
          <w:rFonts w:ascii="楷体" w:eastAsia="楷体" w:hAnsi="楷体" w:cs="楷体" w:hint="eastAsia"/>
          <w:sz w:val="32"/>
          <w:szCs w:val="32"/>
        </w:rPr>
        <w:t>（二）依申请公开</w:t>
      </w:r>
    </w:p>
    <w:p w:rsidR="00C70BBC" w:rsidRPr="00C70BBC" w:rsidRDefault="00776563" w:rsidP="00A71851">
      <w:pPr>
        <w:spacing w:line="560" w:lineRule="exact"/>
        <w:ind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本年度依申请公开</w:t>
      </w:r>
      <w:r>
        <w:rPr>
          <w:rFonts w:ascii="仿宋" w:eastAsia="仿宋" w:hAnsi="仿宋" w:cs="楷体" w:hint="eastAsia"/>
          <w:sz w:val="32"/>
          <w:szCs w:val="32"/>
        </w:rPr>
        <w:t>5件、行政复议案件1件，依法应诉2件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2D05" w:rsidRDefault="00C70BBC" w:rsidP="00A71851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（三）政府信息管理</w:t>
      </w:r>
      <w:r w:rsidR="00776563">
        <w:rPr>
          <w:rFonts w:ascii="楷体" w:eastAsia="楷体" w:hAnsi="楷体" w:cs="楷体" w:hint="eastAsia"/>
          <w:sz w:val="32"/>
          <w:szCs w:val="32"/>
        </w:rPr>
        <w:t>。</w:t>
      </w:r>
      <w:r w:rsidR="00776563">
        <w:rPr>
          <w:rFonts w:ascii="仿宋_GB2312" w:eastAsia="仿宋_GB2312" w:hAnsi="仿宋_GB2312" w:cs="仿宋_GB2312" w:hint="eastAsia"/>
          <w:sz w:val="32"/>
          <w:szCs w:val="32"/>
        </w:rPr>
        <w:t>重视政府信息公开工作，组成以党委副书记主管，党政办负责业务开展，2名办公室人员兼任具体工作人员的信息公开工作体系，负责各办信息收集、整理和更新发布，实行信息公布实行内部审核制度，由分管领导审核把关，重要信息由主要领导审核确认，切实做到每</w:t>
      </w:r>
      <w:r w:rsidR="0077656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周至少一次信息更新，确保政务信息及时公开。</w:t>
      </w:r>
    </w:p>
    <w:p w:rsidR="00C70BBC" w:rsidRPr="00C70BBC" w:rsidRDefault="00776563" w:rsidP="00A71851">
      <w:pPr>
        <w:pStyle w:val="1"/>
        <w:spacing w:before="0" w:beforeAutospacing="0" w:after="0" w:afterAutospacing="0" w:line="560" w:lineRule="exact"/>
        <w:rPr>
          <w:rFonts w:ascii="楷体" w:eastAsia="楷体" w:hAnsi="楷体" w:cs="楷体"/>
          <w:b w:val="0"/>
          <w:bCs w:val="0"/>
          <w:kern w:val="2"/>
          <w:sz w:val="32"/>
          <w:szCs w:val="32"/>
        </w:rPr>
      </w:pPr>
      <w:r>
        <w:rPr>
          <w:rFonts w:ascii="楷体" w:eastAsia="楷体" w:hAnsi="楷体" w:cs="楷体" w:hint="eastAsia"/>
          <w:b w:val="0"/>
          <w:bCs w:val="0"/>
          <w:kern w:val="2"/>
          <w:sz w:val="32"/>
          <w:szCs w:val="32"/>
        </w:rPr>
        <w:t xml:space="preserve">    </w:t>
      </w:r>
      <w:r w:rsidR="00C70BBC" w:rsidRPr="00C70BBC">
        <w:rPr>
          <w:rFonts w:ascii="楷体" w:eastAsia="楷体" w:hAnsi="楷体" w:cs="楷体" w:hint="eastAsia"/>
          <w:b w:val="0"/>
          <w:bCs w:val="0"/>
          <w:kern w:val="2"/>
          <w:sz w:val="32"/>
          <w:szCs w:val="32"/>
        </w:rPr>
        <w:t>（四）信息公开平台建设</w:t>
      </w:r>
    </w:p>
    <w:p w:rsidR="00C70BBC" w:rsidRDefault="00C70BBC" w:rsidP="00A71851">
      <w:pPr>
        <w:pStyle w:val="1"/>
        <w:spacing w:before="0" w:beforeAutospacing="0" w:after="0" w:afterAutospacing="0" w:line="560" w:lineRule="exact"/>
        <w:ind w:firstLineChars="221" w:firstLine="707"/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</w:pPr>
      <w:r w:rsidRPr="00C70BBC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遵循便利、实用、有效的原则，创新信息公开的载体形式，不断拓宽信息公开范围。做好门户网站建设，把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富阳区灵桥镇人民政府</w:t>
      </w:r>
      <w:r w:rsidRPr="00C70BBC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官方网站作为政府信息公开的主要平台，按照《政府信息公开指南》《政府信息公开目录》等，及时将相关信息逐一网上发布。</w:t>
      </w:r>
    </w:p>
    <w:p w:rsidR="00A71851" w:rsidRDefault="00C70BBC" w:rsidP="00A71851">
      <w:pPr>
        <w:pStyle w:val="1"/>
        <w:spacing w:before="0" w:beforeAutospacing="0" w:after="0" w:afterAutospacing="0" w:line="560" w:lineRule="exact"/>
        <w:ind w:firstLineChars="221" w:firstLine="707"/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深化灵桥镇新华村“线上村务”平台试点工作成果，全面推广“线上村务”平台，已完成关注人数7697人，发布村务动态830条。继续发挥</w:t>
      </w:r>
      <w:r w:rsidRPr="00C70BBC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“富阳灵桥”微信公众号在信息传播方面的“短平快”优势，延展政务信息触角，实现政府信息的深度解读和精准投送。</w:t>
      </w:r>
    </w:p>
    <w:p w:rsidR="00A71851" w:rsidRDefault="00C70BBC" w:rsidP="00A71851">
      <w:pPr>
        <w:pStyle w:val="1"/>
        <w:spacing w:before="0" w:beforeAutospacing="0" w:after="0" w:afterAutospacing="0" w:line="560" w:lineRule="exact"/>
        <w:ind w:firstLineChars="221" w:firstLine="707"/>
        <w:rPr>
          <w:rFonts w:ascii="楷体" w:eastAsia="楷体" w:hAnsi="楷体" w:cs="楷体"/>
          <w:b w:val="0"/>
          <w:bCs w:val="0"/>
          <w:kern w:val="2"/>
          <w:sz w:val="32"/>
          <w:szCs w:val="32"/>
        </w:rPr>
      </w:pPr>
      <w:r w:rsidRPr="00C70BBC">
        <w:rPr>
          <w:rFonts w:ascii="楷体" w:eastAsia="楷体" w:hAnsi="楷体" w:cs="楷体" w:hint="eastAsia"/>
          <w:b w:val="0"/>
          <w:bCs w:val="0"/>
          <w:kern w:val="2"/>
          <w:sz w:val="32"/>
          <w:szCs w:val="32"/>
        </w:rPr>
        <w:t>（五）信息公开监督保障</w:t>
      </w:r>
    </w:p>
    <w:p w:rsidR="00F82D05" w:rsidRPr="00A71851" w:rsidRDefault="00C70BBC" w:rsidP="00A71851">
      <w:pPr>
        <w:pStyle w:val="1"/>
        <w:spacing w:before="0" w:beforeAutospacing="0" w:after="0" w:afterAutospacing="0" w:line="560" w:lineRule="exact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一是强化新《政府信息公开条例》的贯彻落实。新修订的政府信息公开条例施行后，积极组织培训学习。根据新《条例》内容，完善了政府信息公开制度和依申请办理规范流程，切实保障公众依法行使知情权、参与权、表达权、监督权。二是强化政府信息公开的服务保障。</w:t>
      </w:r>
      <w:r w:rsidR="00EA2653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明确镇</w:t>
      </w:r>
      <w:r w:rsidR="00A71851"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党政综合办公室作为</w:t>
      </w:r>
      <w:r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依申请公开政府信息</w:t>
      </w:r>
      <w:r w:rsidR="00EA2653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工作责任科室</w:t>
      </w:r>
      <w:r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，负责接待和受理群众申请公开政府信息工作。同时公布</w:t>
      </w:r>
      <w:r w:rsidR="00A71851"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本单位</w:t>
      </w:r>
      <w:r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政府信息公开指南，告知信息获取方式、公开受理机构的名称、办公地址、办公时间、联系电话、电子邮箱等。三是强化政府信息公开工作的监督考核。对机关各科室有关工作开展情况进行监督，对照要求逐条检查，</w:t>
      </w:r>
      <w:r w:rsidR="00A71851"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对</w:t>
      </w:r>
      <w:r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重要政务信息、重要咨询内容</w:t>
      </w:r>
      <w:r w:rsidR="00A71851"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应</w:t>
      </w:r>
      <w:r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公开</w:t>
      </w:r>
      <w:r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lastRenderedPageBreak/>
        <w:t>而未公开、应回复而未及时回复或处置错误的，对</w:t>
      </w:r>
      <w:r w:rsidR="00A71851"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相关</w:t>
      </w:r>
      <w:r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责任人</w:t>
      </w:r>
      <w:r w:rsidR="00A71851"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进行</w:t>
      </w:r>
      <w:r w:rsidRPr="00A71851">
        <w:rPr>
          <w:rFonts w:ascii="仿宋_GB2312" w:eastAsia="仿宋_GB2312" w:hAnsi="楷体" w:cs="楷体" w:hint="eastAsia"/>
          <w:b w:val="0"/>
          <w:bCs w:val="0"/>
          <w:kern w:val="2"/>
          <w:sz w:val="32"/>
          <w:szCs w:val="32"/>
        </w:rPr>
        <w:t>通报批评。</w:t>
      </w:r>
    </w:p>
    <w:p w:rsidR="00F82D05" w:rsidRDefault="00776563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91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30"/>
        <w:gridCol w:w="2295"/>
        <w:gridCol w:w="2010"/>
        <w:gridCol w:w="2250"/>
      </w:tblGrid>
      <w:tr w:rsidR="00F82D05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117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118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F82D05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44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  <w:t>1453837.18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元</w:t>
            </w:r>
          </w:p>
        </w:tc>
      </w:tr>
    </w:tbl>
    <w:p w:rsidR="00F82D05" w:rsidRDefault="0077656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130"/>
        <w:gridCol w:w="3045"/>
        <w:gridCol w:w="810"/>
        <w:gridCol w:w="600"/>
        <w:gridCol w:w="30"/>
        <w:gridCol w:w="600"/>
        <w:gridCol w:w="570"/>
        <w:gridCol w:w="660"/>
        <w:gridCol w:w="600"/>
        <w:gridCol w:w="600"/>
      </w:tblGrid>
      <w:tr w:rsidR="00F82D05">
        <w:trPr>
          <w:trHeight w:val="680"/>
        </w:trPr>
        <w:tc>
          <w:tcPr>
            <w:tcW w:w="4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申请人情况</w:t>
            </w:r>
          </w:p>
        </w:tc>
      </w:tr>
      <w:tr w:rsidR="00F82D05">
        <w:trPr>
          <w:trHeight w:val="36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总计</w:t>
            </w:r>
          </w:p>
        </w:tc>
      </w:tr>
      <w:tr w:rsidR="00F82D05">
        <w:trPr>
          <w:trHeight w:val="104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</w:tr>
      <w:tr w:rsidR="00F82D05">
        <w:trPr>
          <w:trHeight w:val="60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</w:tr>
      <w:tr w:rsidR="00F82D05">
        <w:trPr>
          <w:trHeight w:val="60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360"/>
        </w:trPr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</w:tr>
      <w:tr w:rsidR="00F82D05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5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5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7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64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6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9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F82D05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</w:tr>
      <w:tr w:rsidR="00F82D05">
        <w:trPr>
          <w:trHeight w:val="36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</w:tbl>
    <w:p w:rsidR="00F82D05" w:rsidRDefault="00776563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 w:rsidR="00F82D05">
        <w:trPr>
          <w:trHeight w:val="360"/>
        </w:trPr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 w:rsidR="00F82D05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 w:rsidR="00F82D05">
        <w:trPr>
          <w:trHeight w:val="7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F82D05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</w:tr>
      <w:tr w:rsidR="00F82D05">
        <w:trPr>
          <w:trHeight w:val="8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2D05" w:rsidRDefault="007765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F82D05" w:rsidRDefault="00776563">
      <w:pPr>
        <w:spacing w:line="56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F82D05" w:rsidRDefault="00776563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kern w:val="2"/>
          <w:sz w:val="32"/>
          <w:szCs w:val="32"/>
          <w:shd w:val="clear" w:color="auto" w:fill="FFFFFF"/>
        </w:rPr>
        <w:t>1.存在问题。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一是公开信息质量还不够高，主要还是以基层工作动态信息为主；二是政府信息公开的面还不够广；三是工作效率有待提升，在实际开展工作中存在业务不熟悉、要点不掌握的问题。</w:t>
      </w:r>
    </w:p>
    <w:p w:rsidR="00F82D05" w:rsidRDefault="00776563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下一步改进措施。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是提高思想认识。强化学习，充分认识到政府信息公开在推进法治政府建设中的重要性。二是加强队伍建设。组织相关工作人员开展多形式业务学习，提升工作人员发布筛选信息、编辑发布的能力。三是落实工作要求。按照规范的信息公开工作流程，提升公开信息质量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确保公开信息的时效性、完整性、准确性，有效推进政府信息公开工作。</w:t>
      </w:r>
    </w:p>
    <w:p w:rsidR="00F82D05" w:rsidRDefault="00776563">
      <w:pPr>
        <w:spacing w:line="56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F82D05" w:rsidRDefault="0077656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本年度无其他需要报告的事项。</w:t>
      </w:r>
    </w:p>
    <w:p w:rsidR="00F82D05" w:rsidRDefault="00F82D05">
      <w:pPr>
        <w:pStyle w:val="1"/>
        <w:rPr>
          <w:rFonts w:ascii="仿宋_GB2312" w:eastAsia="仿宋_GB2312" w:hAnsi="仿宋_GB2312" w:cs="仿宋_GB2312"/>
          <w:sz w:val="32"/>
          <w:szCs w:val="32"/>
        </w:rPr>
      </w:pPr>
    </w:p>
    <w:p w:rsidR="00F82D05" w:rsidRDefault="0077656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杭州市富阳区灵桥镇人民政府</w:t>
      </w:r>
    </w:p>
    <w:p w:rsidR="00F82D05" w:rsidRDefault="00776563">
      <w:pPr>
        <w:pStyle w:val="1"/>
        <w:spacing w:before="0" w:beforeAutospacing="0" w:after="0" w:afterAutospacing="0" w:line="560" w:lineRule="exact"/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 xml:space="preserve">                              2021年1月22日</w:t>
      </w:r>
    </w:p>
    <w:sectPr w:rsidR="00F82D05" w:rsidSect="00F82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43" w:rsidRDefault="00270643" w:rsidP="00C70BBC">
      <w:r>
        <w:separator/>
      </w:r>
    </w:p>
  </w:endnote>
  <w:endnote w:type="continuationSeparator" w:id="1">
    <w:p w:rsidR="00270643" w:rsidRDefault="00270643" w:rsidP="00C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43" w:rsidRDefault="00270643" w:rsidP="00C70BBC">
      <w:r>
        <w:separator/>
      </w:r>
    </w:p>
  </w:footnote>
  <w:footnote w:type="continuationSeparator" w:id="1">
    <w:p w:rsidR="00270643" w:rsidRDefault="00270643" w:rsidP="00C70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40B70012"/>
    <w:rsid w:val="000D5ACA"/>
    <w:rsid w:val="0013198E"/>
    <w:rsid w:val="00161894"/>
    <w:rsid w:val="00162061"/>
    <w:rsid w:val="00257266"/>
    <w:rsid w:val="00270643"/>
    <w:rsid w:val="002C4C69"/>
    <w:rsid w:val="00451D9A"/>
    <w:rsid w:val="00776563"/>
    <w:rsid w:val="00956CC6"/>
    <w:rsid w:val="00A71851"/>
    <w:rsid w:val="00AE3FB3"/>
    <w:rsid w:val="00BC1B8D"/>
    <w:rsid w:val="00C70BBC"/>
    <w:rsid w:val="00D26C11"/>
    <w:rsid w:val="00EA2653"/>
    <w:rsid w:val="00EA6C5F"/>
    <w:rsid w:val="00EF4810"/>
    <w:rsid w:val="00F82D05"/>
    <w:rsid w:val="023424D7"/>
    <w:rsid w:val="0B3D4F2C"/>
    <w:rsid w:val="153D121C"/>
    <w:rsid w:val="175F6197"/>
    <w:rsid w:val="40B70012"/>
    <w:rsid w:val="477D6007"/>
    <w:rsid w:val="6D875E74"/>
    <w:rsid w:val="6E2E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F82D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82D0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2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2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82D0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F82D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2D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9</cp:revision>
  <dcterms:created xsi:type="dcterms:W3CDTF">2021-01-20T08:23:00Z</dcterms:created>
  <dcterms:modified xsi:type="dcterms:W3CDTF">2021-03-25T05:00:00Z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