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jc w:val="center"/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lang w:eastAsia="zh-CN"/>
        </w:rPr>
        <w:t>2017年11月—2020年2月屠宰环节无害化补助资金情况汇总表</w:t>
      </w:r>
    </w:p>
    <w:p>
      <w:pPr>
        <w:pStyle w:val="2"/>
        <w:spacing w:before="0" w:beforeAutospacing="0" w:after="0" w:afterAutospacing="0" w:line="450" w:lineRule="atLeast"/>
        <w:ind w:firstLine="3923" w:firstLineChars="1226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                 单位：头/元</w:t>
      </w:r>
    </w:p>
    <w:tbl>
      <w:tblPr>
        <w:tblStyle w:val="3"/>
        <w:tblW w:w="139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025"/>
        <w:gridCol w:w="1080"/>
        <w:gridCol w:w="1043"/>
        <w:gridCol w:w="816"/>
        <w:gridCol w:w="1267"/>
        <w:gridCol w:w="1033"/>
        <w:gridCol w:w="1517"/>
        <w:gridCol w:w="1400"/>
        <w:gridCol w:w="1050"/>
        <w:gridCol w:w="1117"/>
        <w:gridCol w:w="1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屠宰（第三方）企业名称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病害猪损失核定数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损失补助标准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无害化损失补助金额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无害化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无害化处理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无害化处理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补助合计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已补助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此次补助金额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杭州富阳食品有限公司大青屠宰场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生猪屠宰企业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563.21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800元/头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450568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471688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杭州富阳新登食品有限公司屠宰厂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318.47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254776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41762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富阳市万市生猪屠宰点（普通合伙）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127.57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10205.6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41205.6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杭州富阳食品有限公司灵桥屠宰场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131.86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105488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富阳市场口镇场口生猪屠宰场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杭州回利生物开发有限公司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第三方处理单位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1455.63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85元/头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123728.6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123728.6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123728.6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1055.87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800元/头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844696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1921.4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160990.2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1005686.2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755686.2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核定范围内（含途亡）无害化补助资金比例构成为上级资金80%、本级资金20%；2.回利公司5元/头运输费由本级财政承担；3.病害猪损失核定数、途亡数之外的无害化处理生猪710.8头，该部分补助费用由本级财政承担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C56FF"/>
    <w:rsid w:val="6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陈壳郎</cp:lastModifiedBy>
  <dcterms:modified xsi:type="dcterms:W3CDTF">2020-09-16T01:41:41Z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