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富阳区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渔山乡人民政府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20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21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年政府信息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公开工作年度报告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根据《中华人民共和国政府信息公开条例》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第五十条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规定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编制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富阳区渔山乡人民政府2021年政府信息公开工作年度报告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本年报由总体情况，主动公开政府信息情况，收到和处理政府信息公开申请情况，因政府信息公开工作被申请行政复议、提起行政诉讼情况，政府信息公开工作存在的主要问题和改进情况，其他需要报告的事项等六部分组成。报告中所列数据的统计时限自2021年1月1日至2021年12月31日止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bookmarkStart w:id="0" w:name="_GoBack"/>
      <w:r>
        <w:rPr>
          <w:rFonts w:hint="default" w:ascii="Times New Roman" w:hAnsi="Times New Roman" w:eastAsia="黑体" w:cs="Times New Roman"/>
          <w:sz w:val="32"/>
          <w:szCs w:val="32"/>
        </w:rPr>
        <w:t>一、总体情况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2021年，渔山乡严格按照《中华人民共和国政府信息公开条例》有关要求和省、市、区相关规定，聚焦区委、区政府及我乡重点工作，坚持“以公开为常态、不公开为例外”，遵循公正、公平、合法、便民原则做好政务公开，努力保障人民群众的知情权、参与权、表达权和监督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default" w:ascii="Times New Roman" w:hAnsi="Times New Roman" w:eastAsia="楷体_GB2312" w:cs="Times New Roman"/>
          <w:b/>
          <w:bCs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>（一）</w:t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主动公开</w:t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>方面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针对主动公开的政府信息，渔山乡主要通过“杭州·富阳”门户网站政府信息公开平台和“稻香渔山”微信公众号平台进行公开。2021年度，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通过政府信息公开平台主动公开政府信息280条，其中，乡镇文件5条，重大决策事项3条，计划总结1份，财政信息11条，公告公示45条，工作信息203条，重点领域信息公开11条（村务公开9条），政府信息公开年报1份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bCs/>
          <w:kern w:val="2"/>
          <w:sz w:val="32"/>
          <w:szCs w:val="32"/>
          <w:lang w:val="en-US" w:eastAsia="zh-CN" w:bidi="ar-SA"/>
        </w:rPr>
        <w:t>1.做好权威信息发布工作。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第一时间发布各类权威政务信息，尤其是涉及公众重大关切的公共事件和政策法规方面的信息，如及时转发省市区防指通告、政策文件，定期发布我乡统筹做好疫情防控和经济社会发展工作的信息。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bCs/>
          <w:kern w:val="2"/>
          <w:sz w:val="32"/>
          <w:szCs w:val="32"/>
          <w:lang w:val="en-US" w:eastAsia="zh-CN" w:bidi="ar-SA"/>
        </w:rPr>
        <w:t>2.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lang w:val="en-US" w:eastAsia="zh-CN" w:bidi="ar-SA"/>
        </w:rPr>
        <w:t>落实政情通报会制度。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年初，召开政情通报会，向人大代表、政协委员、老干部汇报工作，解读乡政府工作报告，并听取相关意见建议。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default" w:ascii="Times New Roman" w:hAnsi="Times New Roman" w:eastAsia="楷体_GB2312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依申请公开</w:t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>方面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2021年，渔山乡收到政府信息公开申请0件。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default" w:ascii="Times New Roman" w:hAnsi="Times New Roman" w:eastAsia="楷体_GB2312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>信息管理方面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bCs/>
          <w:kern w:val="2"/>
          <w:sz w:val="32"/>
          <w:szCs w:val="32"/>
          <w:lang w:val="en-US" w:eastAsia="zh-CN" w:bidi="ar-SA"/>
        </w:rPr>
        <w:t>1.加强组织领导。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成立由乡党委副书记为组长、党政办主任为副组长，1名党政办干部、1名党建办干部为成员的政务公开工作领导小组，确保政府信息公开有专人抓、有专人管、有专人办。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lang w:val="en-US" w:eastAsia="zh-CN" w:bidi="ar-SA"/>
        </w:rPr>
        <w:t>2.健全政府信息常态化管理机制。</w:t>
      </w: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lang w:val="en-US" w:eastAsia="zh-CN" w:bidi="ar-SA"/>
        </w:rPr>
        <w:t>建立健全政府信息采集、制作、审核、公开、存档等制度，加强与宣传条线的协同联动，确保发布信息的及时性、真实性和准确性。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left="0" w:leftChars="0" w:firstLine="640" w:firstLineChars="0"/>
        <w:jc w:val="both"/>
        <w:textAlignment w:val="auto"/>
        <w:rPr>
          <w:rFonts w:hint="default" w:ascii="Times New Roman" w:hAnsi="Times New Roman" w:eastAsia="楷体_GB2312" w:cs="Times New Roman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楷体_GB2312" w:cs="Times New Roman"/>
          <w:b/>
          <w:bCs/>
          <w:kern w:val="2"/>
          <w:sz w:val="32"/>
          <w:szCs w:val="32"/>
          <w:lang w:val="en-US" w:eastAsia="zh-CN" w:bidi="ar-SA"/>
        </w:rPr>
        <w:t>平台建设方面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bCs/>
          <w:kern w:val="2"/>
          <w:sz w:val="32"/>
          <w:szCs w:val="32"/>
          <w:lang w:val="en-US" w:eastAsia="zh-CN" w:bidi="ar-SA"/>
        </w:rPr>
        <w:t>1.规范门户网站建设。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按照《政府信息公开指南》《政府信息公开目录》等，及时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做好信息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分类归档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发布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工作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lang w:val="en-US" w:eastAsia="zh-CN" w:bidi="ar-SA"/>
        </w:rPr>
        <w:t>2.加强政务新媒体平台管理。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充分发挥官方微信公众号在信息传播方面“短平快”优势，打造政务公开及时、信息宣传丰富、舆论引导有力的新阵地。2021年，官方微信平台“稻香渔山”发稿680条，关注人数4255人。同时，通过“浙江新闻”、“学习强国”、《杭州日报》、《富阳日报》等媒体推介宣传单位工作动态，主动接受社会舆论监督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kern w:val="2"/>
          <w:sz w:val="32"/>
          <w:szCs w:val="32"/>
          <w:lang w:val="en-US" w:eastAsia="zh-CN" w:bidi="ar-SA"/>
        </w:rPr>
        <w:t>3.完善公众互动交流渠道。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在官方微信公众号平台设置“咨询投诉”专栏，含“领导信箱”和“我要建议”两个栏目，通过后台与公众进行互动交流。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楷体_GB2312" w:cs="Times New Roman"/>
          <w:b/>
          <w:bCs/>
          <w:kern w:val="2"/>
          <w:sz w:val="32"/>
          <w:szCs w:val="32"/>
          <w:lang w:val="en-US" w:eastAsia="zh-CN" w:bidi="ar-SA"/>
        </w:rPr>
        <w:t>（五）监督保障方面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kern w:val="2"/>
          <w:sz w:val="32"/>
          <w:szCs w:val="32"/>
          <w:lang w:val="en-US" w:eastAsia="zh-CN" w:bidi="ar-SA"/>
        </w:rPr>
        <w:t>1.强化</w:t>
      </w:r>
      <w:r>
        <w:rPr>
          <w:rFonts w:hint="eastAsia" w:ascii="Times New Roman" w:hAnsi="Times New Roman" w:eastAsia="仿宋_GB2312" w:cs="Times New Roman"/>
          <w:b/>
          <w:bCs/>
          <w:kern w:val="2"/>
          <w:sz w:val="32"/>
          <w:szCs w:val="32"/>
          <w:lang w:val="en-US" w:eastAsia="zh-CN" w:bidi="ar-SA"/>
        </w:rPr>
        <w:t>工作</w:t>
      </w:r>
      <w:r>
        <w:rPr>
          <w:rFonts w:hint="default" w:ascii="Times New Roman" w:hAnsi="Times New Roman" w:eastAsia="仿宋_GB2312" w:cs="Times New Roman"/>
          <w:b/>
          <w:bCs/>
          <w:kern w:val="2"/>
          <w:sz w:val="32"/>
          <w:szCs w:val="32"/>
          <w:lang w:val="en-US" w:eastAsia="zh-CN" w:bidi="ar-SA"/>
        </w:rPr>
        <w:t>考核。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对各科室、中心有关工作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开展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监督和评估，对照要求逐个栏目逐条检查，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对信息公开的及时性、规范性、正确率进行考核。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2.强化社会评议。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在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政府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门户网站上公开发布《政府信息公开工作年度报告》，并明确由乡行政负责人在政情通报会上作汇报，接受乡人大代表、政协委员、老干部审查。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default" w:ascii="Times New Roman" w:hAnsi="Times New Roman" w:eastAsia="仿宋_GB2312" w:cs="Times New Roman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/>
          <w:bCs/>
          <w:kern w:val="2"/>
          <w:sz w:val="32"/>
          <w:szCs w:val="32"/>
          <w:lang w:val="en-US" w:eastAsia="zh-CN" w:bidi="ar-SA"/>
        </w:rPr>
        <w:t>3.强化追责问责。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凡重要政务信息、重要咨询内容应公开而未公开、应回复而未及时回复或处置错误的，对直接责任人和责任科室给予通报批评。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2021年本单位未发生政府信息公开工作责任追究情况。</w:t>
      </w:r>
    </w:p>
    <w:bookmarkEnd w:id="0"/>
    <w:p>
      <w:pPr>
        <w:spacing w:line="560" w:lineRule="exact"/>
        <w:ind w:firstLine="64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二、主动公开政府信息情况</w:t>
      </w:r>
    </w:p>
    <w:tbl>
      <w:tblPr>
        <w:tblStyle w:val="5"/>
        <w:tblW w:w="918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30"/>
        <w:gridCol w:w="2295"/>
        <w:gridCol w:w="2010"/>
        <w:gridCol w:w="225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</w:trPr>
        <w:tc>
          <w:tcPr>
            <w:tcW w:w="91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</w:trPr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  <w:t>信息内容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24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  <w:lang w:eastAsia="zh-CN"/>
              </w:rPr>
              <w:t>本年制发件数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24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  <w:lang w:eastAsia="zh-CN"/>
              </w:rPr>
              <w:t>本年废止件数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24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  <w:lang w:eastAsia="zh-CN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</w:trPr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  <w:t>规章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</w:trPr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  <w:lang w:eastAsia="zh-CN"/>
              </w:rPr>
              <w:t>行政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  <w:t>规范性文件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</w:trPr>
        <w:tc>
          <w:tcPr>
            <w:tcW w:w="91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</w:trPr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  <w:t>信息内容</w:t>
            </w:r>
          </w:p>
        </w:tc>
        <w:tc>
          <w:tcPr>
            <w:tcW w:w="65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24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24"/>
                <w:lang w:eastAsia="zh-CN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</w:trPr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  <w:t>行政许可</w:t>
            </w:r>
          </w:p>
        </w:tc>
        <w:tc>
          <w:tcPr>
            <w:tcW w:w="65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</w:trPr>
        <w:tc>
          <w:tcPr>
            <w:tcW w:w="91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</w:trPr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  <w:t>信息内容</w:t>
            </w:r>
          </w:p>
        </w:tc>
        <w:tc>
          <w:tcPr>
            <w:tcW w:w="65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24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24"/>
                <w:lang w:eastAsia="zh-CN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</w:trPr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  <w:t>行政处罚</w:t>
            </w:r>
          </w:p>
        </w:tc>
        <w:tc>
          <w:tcPr>
            <w:tcW w:w="65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</w:trPr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  <w:t>行政强制</w:t>
            </w:r>
          </w:p>
        </w:tc>
        <w:tc>
          <w:tcPr>
            <w:tcW w:w="65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</w:trPr>
        <w:tc>
          <w:tcPr>
            <w:tcW w:w="91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</w:trPr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  <w:t>信息内容</w:t>
            </w:r>
          </w:p>
        </w:tc>
        <w:tc>
          <w:tcPr>
            <w:tcW w:w="65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24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24"/>
                <w:lang w:eastAsia="zh-CN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</w:trPr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  <w:t>行政事业性收费</w:t>
            </w:r>
          </w:p>
        </w:tc>
        <w:tc>
          <w:tcPr>
            <w:tcW w:w="65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24"/>
                <w:lang w:val="en-US" w:eastAsia="zh-CN"/>
              </w:rPr>
              <w:t>0</w:t>
            </w:r>
          </w:p>
        </w:tc>
      </w:tr>
    </w:tbl>
    <w:p>
      <w:p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三、收到和处理政府信息公开申请情况</w:t>
      </w:r>
    </w:p>
    <w:tbl>
      <w:tblPr>
        <w:tblStyle w:val="5"/>
        <w:tblW w:w="921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0"/>
        <w:gridCol w:w="1130"/>
        <w:gridCol w:w="3045"/>
        <w:gridCol w:w="810"/>
        <w:gridCol w:w="630"/>
        <w:gridCol w:w="600"/>
        <w:gridCol w:w="570"/>
        <w:gridCol w:w="660"/>
        <w:gridCol w:w="600"/>
        <w:gridCol w:w="6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474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  <w:t>（本列数据的勾稽关系为：第一项加第二项之和，等于第三项加第四项之和）</w:t>
            </w:r>
          </w:p>
        </w:tc>
        <w:tc>
          <w:tcPr>
            <w:tcW w:w="447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4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  <w:t>自然人</w:t>
            </w:r>
          </w:p>
        </w:tc>
        <w:tc>
          <w:tcPr>
            <w:tcW w:w="30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  <w:t>法人或其他组织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</w:trPr>
        <w:tc>
          <w:tcPr>
            <w:tcW w:w="474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  <w:t>商业企业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  <w:t>科研机构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  <w:t>社会公益组织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  <w:t>法律服务机构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  <w:t>其他</w:t>
            </w: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  <w:t>一、本年新收政府信息公开申请数量</w:t>
            </w:r>
          </w:p>
        </w:tc>
        <w:tc>
          <w:tcPr>
            <w:tcW w:w="8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  <w:t>二、上年结转政府信息公开申请数量</w:t>
            </w:r>
          </w:p>
        </w:tc>
        <w:tc>
          <w:tcPr>
            <w:tcW w:w="8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7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三、本年度办理结果</w:t>
            </w:r>
          </w:p>
        </w:tc>
        <w:tc>
          <w:tcPr>
            <w:tcW w:w="417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（一）予以公开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41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（二）部分公开（区分处理的，只计这一情形，不计其他情形）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1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（三）不予公开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1.属于国家秘密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2.其他法律行政法规禁止公开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5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3.危及“三安全一稳定”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5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4.保护第三方合法权益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5.属于三类内部事务信息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5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6.属于四类过程性信息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rPr>
          <w:trHeight w:val="660" w:hRule="atLeast"/>
        </w:trPr>
        <w:tc>
          <w:tcPr>
            <w:tcW w:w="5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7.属于行政执法案卷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8.属于行政查询事项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</w:trPr>
        <w:tc>
          <w:tcPr>
            <w:tcW w:w="5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1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（四）无法提供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1.本机关不掌握相关政府信息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5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2.没有现成信息需要另行制作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3.补正后申请内容仍不明确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5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1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（五）不予处理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1.信访举报投诉类申请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5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2.重复申请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5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3.要求提供公开出版物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5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4.无正当理由大量反复申请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5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5.要求行政机关确认或重新出具已获取信息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5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1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（六）其他处理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楷体" w:hAnsi="楷体" w:eastAsia="楷体" w:cs="楷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  <w:t>1.申请人无正当理由逾期不补正、行政机关不再处理其政府信息公开申请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5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1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楷体" w:hAnsi="楷体" w:eastAsia="楷体" w:cs="楷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  <w:t>2.申请人逾期未按收费通知要求缴纳费用、行政机关不再处理其政府信息公开申请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57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</w:p>
        </w:tc>
        <w:tc>
          <w:tcPr>
            <w:tcW w:w="11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楷体" w:hAnsi="楷体" w:eastAsia="楷体" w:cs="楷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  <w:t>3.其他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41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（七）总计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  <w:t>四、结转下年度继续办理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</w:tbl>
    <w:p>
      <w:pPr>
        <w:spacing w:line="360" w:lineRule="auto"/>
        <w:ind w:firstLine="640" w:firstLineChars="200"/>
        <w:contextualSpacing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四、政府信息公开行政复议、行政诉讼情况</w:t>
      </w:r>
    </w:p>
    <w:tbl>
      <w:tblPr>
        <w:tblStyle w:val="5"/>
        <w:tblW w:w="923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0"/>
        <w:gridCol w:w="615"/>
        <w:gridCol w:w="630"/>
        <w:gridCol w:w="675"/>
        <w:gridCol w:w="830"/>
        <w:gridCol w:w="525"/>
        <w:gridCol w:w="615"/>
        <w:gridCol w:w="570"/>
        <w:gridCol w:w="555"/>
        <w:gridCol w:w="660"/>
        <w:gridCol w:w="615"/>
        <w:gridCol w:w="555"/>
        <w:gridCol w:w="510"/>
        <w:gridCol w:w="570"/>
        <w:gridCol w:w="7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3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Cs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24"/>
              </w:rPr>
              <w:t>行政复议</w:t>
            </w:r>
          </w:p>
        </w:tc>
        <w:tc>
          <w:tcPr>
            <w:tcW w:w="591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Cs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24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Cs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24"/>
              </w:rPr>
              <w:t>结果维持</w:t>
            </w:r>
          </w:p>
        </w:tc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Cs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24"/>
              </w:rPr>
              <w:t>结果纠正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Cs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24"/>
              </w:rPr>
              <w:t>其他结果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Cs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24"/>
              </w:rPr>
              <w:t>尚未审结</w:t>
            </w:r>
          </w:p>
        </w:tc>
        <w:tc>
          <w:tcPr>
            <w:tcW w:w="8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Cs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24"/>
              </w:rPr>
              <w:t>总计</w:t>
            </w:r>
          </w:p>
        </w:tc>
        <w:tc>
          <w:tcPr>
            <w:tcW w:w="29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Cs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24"/>
              </w:rPr>
              <w:t>未经复议直接起诉</w:t>
            </w:r>
          </w:p>
        </w:tc>
        <w:tc>
          <w:tcPr>
            <w:tcW w:w="29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Cs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24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bCs/>
                <w:color w:val="000000"/>
                <w:sz w:val="24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bCs/>
                <w:color w:val="000000"/>
                <w:sz w:val="24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bCs/>
                <w:color w:val="000000"/>
                <w:sz w:val="24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bCs/>
                <w:color w:val="000000"/>
                <w:sz w:val="24"/>
              </w:rPr>
            </w:pPr>
          </w:p>
        </w:tc>
        <w:tc>
          <w:tcPr>
            <w:tcW w:w="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bCs/>
                <w:color w:val="000000"/>
                <w:sz w:val="24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Cs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24"/>
              </w:rPr>
              <w:t>结果维持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Cs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24"/>
              </w:rPr>
              <w:t>结果纠正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Cs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24"/>
              </w:rPr>
              <w:t>其他结果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Cs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24"/>
              </w:rPr>
              <w:t>尚未审结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Cs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24"/>
              </w:rPr>
              <w:t>总计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Cs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24"/>
              </w:rPr>
              <w:t>结果维持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Cs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24"/>
              </w:rPr>
              <w:t>结果纠正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Cs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24"/>
              </w:rPr>
              <w:t>其他结果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Cs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24"/>
              </w:rPr>
              <w:t>尚未审结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Cs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24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</w:tr>
    </w:tbl>
    <w:p>
      <w:pPr>
        <w:numPr>
          <w:ilvl w:val="0"/>
          <w:numId w:val="2"/>
        </w:numPr>
        <w:spacing w:line="360" w:lineRule="auto"/>
        <w:ind w:firstLine="640" w:firstLineChars="200"/>
        <w:contextualSpacing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存在的主要问题及改进情况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/>
        <w:contextualSpacing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2021年，渔山乡的政府信息公开工作取得一定成效，但仍然存在着一些不足，表现在重点领域信息公开力度不够、政策解读不够通俗易懂、与公众互动交流不够主动、政务公开规范性和工作人员业务能力有待提升等。2022年，渔山乡将持续改进提升，重点做好以下工作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/>
        <w:contextualSpacing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>1.进一步加大重点领域信息公开力度。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抓好重点项目、关键部位的政务公开，尤其是财政预决算、工程质量、民生公益等群众关切信息，做到“应公开尽公开”。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/>
        <w:contextualSpacing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>2.进一步提升政策解读水平。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通过政情通报会等形式，对区委区政府、本乡中心工作和政策文件进行解读回应；用好官方微信公众号平台，通过图表图解、案例说明等方式，让人民群众更好地理解相关条款。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/>
        <w:contextualSpacing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>3.进一步抓好政府信息公开信息员队伍建设。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组织学习《中华人民共和国政府信息公开条例》，提升各职能科室主动公开信息素养。将政府信息公开工作纳入考核，通过量化、监督、检查，压实各科室的责任。</w:t>
      </w:r>
    </w:p>
    <w:p>
      <w:pPr>
        <w:numPr>
          <w:ilvl w:val="0"/>
          <w:numId w:val="2"/>
        </w:numPr>
        <w:spacing w:line="360" w:lineRule="auto"/>
        <w:ind w:firstLine="640" w:firstLineChars="200"/>
        <w:contextualSpacing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其他需要报告的事项</w:t>
      </w:r>
    </w:p>
    <w:p>
      <w:pPr>
        <w:spacing w:line="360" w:lineRule="auto"/>
        <w:ind w:firstLine="640"/>
        <w:contextualSpacing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本年度未收取信息处理费。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96E6B92"/>
    <w:multiLevelType w:val="singleLevel"/>
    <w:tmpl w:val="C96E6B92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ECC9B40A"/>
    <w:multiLevelType w:val="singleLevel"/>
    <w:tmpl w:val="ECC9B40A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35650D"/>
    <w:rsid w:val="000273CC"/>
    <w:rsid w:val="02025461"/>
    <w:rsid w:val="03991DF6"/>
    <w:rsid w:val="06293905"/>
    <w:rsid w:val="062F259D"/>
    <w:rsid w:val="06D80E87"/>
    <w:rsid w:val="07830DF3"/>
    <w:rsid w:val="07CD206E"/>
    <w:rsid w:val="07DB29DD"/>
    <w:rsid w:val="0854453D"/>
    <w:rsid w:val="09584B0A"/>
    <w:rsid w:val="09AA6B0A"/>
    <w:rsid w:val="0A342878"/>
    <w:rsid w:val="0AC43BFC"/>
    <w:rsid w:val="0B536D2E"/>
    <w:rsid w:val="0D921D8F"/>
    <w:rsid w:val="0E325320"/>
    <w:rsid w:val="0E415563"/>
    <w:rsid w:val="0F4470B9"/>
    <w:rsid w:val="103E1D5B"/>
    <w:rsid w:val="10616161"/>
    <w:rsid w:val="10797237"/>
    <w:rsid w:val="110C3C07"/>
    <w:rsid w:val="11366ED6"/>
    <w:rsid w:val="119D0D03"/>
    <w:rsid w:val="13386F35"/>
    <w:rsid w:val="143E39FC"/>
    <w:rsid w:val="144E2788"/>
    <w:rsid w:val="14726477"/>
    <w:rsid w:val="147E4E1C"/>
    <w:rsid w:val="14D56A06"/>
    <w:rsid w:val="17E7717C"/>
    <w:rsid w:val="188E665D"/>
    <w:rsid w:val="190F4A20"/>
    <w:rsid w:val="19547374"/>
    <w:rsid w:val="19685A32"/>
    <w:rsid w:val="1ADA6B24"/>
    <w:rsid w:val="1B283D33"/>
    <w:rsid w:val="1CF33ECD"/>
    <w:rsid w:val="1E76371B"/>
    <w:rsid w:val="1F617814"/>
    <w:rsid w:val="220D5A31"/>
    <w:rsid w:val="23582CDC"/>
    <w:rsid w:val="243A6885"/>
    <w:rsid w:val="248A5E6C"/>
    <w:rsid w:val="24CF521F"/>
    <w:rsid w:val="2535650D"/>
    <w:rsid w:val="27223D2C"/>
    <w:rsid w:val="2728539B"/>
    <w:rsid w:val="2892773A"/>
    <w:rsid w:val="292024ED"/>
    <w:rsid w:val="29ED6E20"/>
    <w:rsid w:val="2AA333D6"/>
    <w:rsid w:val="2AB27175"/>
    <w:rsid w:val="2AF04D6A"/>
    <w:rsid w:val="2B6C5576"/>
    <w:rsid w:val="2B9845BD"/>
    <w:rsid w:val="2C8E776E"/>
    <w:rsid w:val="2D1C121E"/>
    <w:rsid w:val="2F6A2714"/>
    <w:rsid w:val="2F7013AD"/>
    <w:rsid w:val="30717AD3"/>
    <w:rsid w:val="309F019C"/>
    <w:rsid w:val="30DD5D86"/>
    <w:rsid w:val="31B859B9"/>
    <w:rsid w:val="31BE4652"/>
    <w:rsid w:val="31C845BB"/>
    <w:rsid w:val="32601BAD"/>
    <w:rsid w:val="32F3657D"/>
    <w:rsid w:val="33544C1D"/>
    <w:rsid w:val="33DC34B5"/>
    <w:rsid w:val="34922B4C"/>
    <w:rsid w:val="351F7AFD"/>
    <w:rsid w:val="35AE2C2F"/>
    <w:rsid w:val="36A24330"/>
    <w:rsid w:val="36BE50F4"/>
    <w:rsid w:val="36F01751"/>
    <w:rsid w:val="38877E93"/>
    <w:rsid w:val="393D0552"/>
    <w:rsid w:val="3A9C399E"/>
    <w:rsid w:val="3D235C6E"/>
    <w:rsid w:val="3F0538C0"/>
    <w:rsid w:val="3F732F1F"/>
    <w:rsid w:val="401C5365"/>
    <w:rsid w:val="4031125C"/>
    <w:rsid w:val="406E36E7"/>
    <w:rsid w:val="409D2154"/>
    <w:rsid w:val="410D73A4"/>
    <w:rsid w:val="42424E2B"/>
    <w:rsid w:val="42554B5E"/>
    <w:rsid w:val="431F6F1A"/>
    <w:rsid w:val="438751EB"/>
    <w:rsid w:val="43FB34E3"/>
    <w:rsid w:val="447D214A"/>
    <w:rsid w:val="4504461A"/>
    <w:rsid w:val="456A0921"/>
    <w:rsid w:val="460C19D8"/>
    <w:rsid w:val="46717A8D"/>
    <w:rsid w:val="47A324A9"/>
    <w:rsid w:val="480706A9"/>
    <w:rsid w:val="482A25E9"/>
    <w:rsid w:val="482F435B"/>
    <w:rsid w:val="48435459"/>
    <w:rsid w:val="49C83E68"/>
    <w:rsid w:val="4A6F0787"/>
    <w:rsid w:val="4BCF5981"/>
    <w:rsid w:val="4D153868"/>
    <w:rsid w:val="4EB33338"/>
    <w:rsid w:val="4F195165"/>
    <w:rsid w:val="505B77CA"/>
    <w:rsid w:val="51EE28D9"/>
    <w:rsid w:val="527727A0"/>
    <w:rsid w:val="536F35A6"/>
    <w:rsid w:val="53AE40CE"/>
    <w:rsid w:val="5A492DA3"/>
    <w:rsid w:val="5BA069F2"/>
    <w:rsid w:val="5C6E089F"/>
    <w:rsid w:val="5D221689"/>
    <w:rsid w:val="5D722610"/>
    <w:rsid w:val="5DF14932"/>
    <w:rsid w:val="60A01243"/>
    <w:rsid w:val="60B065B7"/>
    <w:rsid w:val="61834DEC"/>
    <w:rsid w:val="622814F0"/>
    <w:rsid w:val="62D376AD"/>
    <w:rsid w:val="630F26B0"/>
    <w:rsid w:val="63732C3E"/>
    <w:rsid w:val="63C416EC"/>
    <w:rsid w:val="650C6EA7"/>
    <w:rsid w:val="660B3602"/>
    <w:rsid w:val="66F67E0E"/>
    <w:rsid w:val="672C6851"/>
    <w:rsid w:val="693764BC"/>
    <w:rsid w:val="698F00A6"/>
    <w:rsid w:val="6A294057"/>
    <w:rsid w:val="6B3D425E"/>
    <w:rsid w:val="6B715CB5"/>
    <w:rsid w:val="6BFD22F3"/>
    <w:rsid w:val="6C9C4FB4"/>
    <w:rsid w:val="6CB87914"/>
    <w:rsid w:val="6E396833"/>
    <w:rsid w:val="6E5D4D5B"/>
    <w:rsid w:val="6E677844"/>
    <w:rsid w:val="6E91041D"/>
    <w:rsid w:val="6EB34BD7"/>
    <w:rsid w:val="6F64384D"/>
    <w:rsid w:val="70422316"/>
    <w:rsid w:val="709661BE"/>
    <w:rsid w:val="71502811"/>
    <w:rsid w:val="71964031"/>
    <w:rsid w:val="722D66AE"/>
    <w:rsid w:val="72AD2DCE"/>
    <w:rsid w:val="73171838"/>
    <w:rsid w:val="73A934D3"/>
    <w:rsid w:val="741B5358"/>
    <w:rsid w:val="748C1DB2"/>
    <w:rsid w:val="74DD260E"/>
    <w:rsid w:val="74FC7265"/>
    <w:rsid w:val="74FF4332"/>
    <w:rsid w:val="75C17839"/>
    <w:rsid w:val="789254BD"/>
    <w:rsid w:val="792A3948"/>
    <w:rsid w:val="79F93A46"/>
    <w:rsid w:val="7A820118"/>
    <w:rsid w:val="7ADB314B"/>
    <w:rsid w:val="7B22521E"/>
    <w:rsid w:val="7B643141"/>
    <w:rsid w:val="7C044924"/>
    <w:rsid w:val="7C0B67FF"/>
    <w:rsid w:val="7C3A20F4"/>
    <w:rsid w:val="7C4A67DB"/>
    <w:rsid w:val="7C907F65"/>
    <w:rsid w:val="7D5016AE"/>
    <w:rsid w:val="7E0935CE"/>
    <w:rsid w:val="7EBC14E6"/>
    <w:rsid w:val="7F066F18"/>
    <w:rsid w:val="7F631961"/>
    <w:rsid w:val="7FF1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kern w:val="2"/>
      <w:sz w:val="18"/>
      <w:szCs w:val="24"/>
      <w:lang w:val="en-US" w:eastAsia="zh-CN" w:bidi="ar-SA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character" w:customStyle="1" w:styleId="7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2022-01-11T07:06:00Z</dcterms:created>
  <dc:creator>匿名用户</dc:creator>
  <cp:lastModifiedBy>匿名用户</cp:lastModifiedBy>
  <cp:lastPrinted>2022-01-11T07:51:00Z</cp:lastPrinted>
  <dcterms:modified xsi:type="dcterms:W3CDTF">2022-01-27T05:50:19Z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9A256B836DA740FDA529ACE648BB1582</vt:lpwstr>
  </property>
</Properties>
</file>