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杭州市富阳区“大综合一体化”行政执法改革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方案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、《杭州市富阳区人民政府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关于将部分行政处罚权交由富春街道办事处等24个乡镇（街道）行使的公告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出台背景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及起草依据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2020年8月以来，省委主要领导在全省综合执法改革推进会、法治浙江建设工作会、省委深改委第十三次会议上3次专题部署执法改革工作，提出要通过推进一体化改革，解决以批代管、以罚代管、多头管、三不管等问题，实现“看得见、能执法”的目的。根据省、市关于推进“大综合一体化”行政执法改革的决策部署，围绕“加快形成权责统一、权威高效‘大综合一体化’行政执法新格局”的总体目标，认真贯彻落实全省法治政府暨综合行政执法改革推进会、全省“大综合一体化”行政执改革推进会精神，结合我区实际，牵头制定形成《杭州市富阳区“大综合一体化”行政执法改革实施方案》（审议稿，简称《方案》）。起草依据主要有：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国家层面：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2019年1月，中办国办印发《关于推进基层整合审批服务执法力量的实施意见》，提出推进基层综合执法改革。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省级层面：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6月，省委省政府出台《关于深化综合行政执法改革的实施意见》（浙委办发〔2019〕46号），要求加大跨部门跨领域综合执法力度；2021年2月，省委全面依法治省委员会办公室印发《法治浙江建设六大抓手实施方案》（浙委法办发〔2021〕1号），提出加快构建“大综合一体化”行政执法新格局，明确了对行政执法进行结构性、体制性、机制性系统集成改革。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2021年8月16日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浙江省人民政府办公厅《关于推进乡镇（街道）综合行政执法工作的通知》</w:t>
      </w:r>
      <w:r>
        <w:rPr>
          <w:rFonts w:hint="eastAsia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浙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办发〔2021〕</w:t>
      </w:r>
      <w:r>
        <w:rPr>
          <w:rFonts w:hint="eastAsia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1号）</w:t>
      </w:r>
      <w:r>
        <w:rPr>
          <w:rFonts w:hint="eastAsia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市级层面：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8月，市委办、市政府办联合印发《杭州市深化综合行政法改革实施方案》（市委办发〔2020〕34号），明确更大范围推进城乡统筹的跨部门、跨领域综合执法改革。2021年10月《杭州市推进“大综合一体化”行政执法改革实施方案》（已上报省政府，待批复），明确全市域推进“大综合一体化”行政执法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200" w:right="0" w:rightChars="0" w:firstLine="320" w:firstLineChars="1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二、《方案》总体思路和主要内容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区“大综合一体化”行政执法改革方案总体思路，是以解决“监管缺位”“三不管、多头管”为导向，以构建“综合执法引领、专业执法联动”的行政执法新格局为目标，确立了改革指导思想、工作目标和工作任务，明确了5个方面18项举措。以下主要介绍5方面主要任务和重点工作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一是构建全覆盖政府监管体系。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各业务主管部门全面编制并认领覆盖本领域监管事项目录，统一纳入“互联网+监管”平台运行。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left="0" w:leftChars="0" w:right="0" w:firstLine="643" w:firstLineChars="200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二是构建全闭环行政执法体系。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此部分主要以执行杭州市改革方案为主，具体包括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（1）整合执法职责和执法队伍。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将档案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、发展改革、教育、科技、民宗、民政、人力社保、建设、退役军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务、粮食物资、人防（民防）11个领域的行政处罚事项原则上交由综合执法部门行使，原来有执法队伍的均予以撤销，仅保留中央和省规定的市场监管、生态环境、交通运输、文化市场、农业、应急管理、卫生健康、自然资源8支专业执法队。司法、财政、审计、统计、医保5个领域的行政处罚事项仍由原业务主管部门的内设机构行使，实行“管执一体”。区级层面构建形成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1支综合执法队伍+8支专业执法队伍+5部门内设机构执法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”的行政执法体系。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乡镇综合执法工作。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一支队伍管执法”和“综合查一次”为主抓手，落实乡镇（街道）党委副书记负责合法性审查工作，设立由行政副职担任队长的执法队伍，队员主要由综合执法、市场监管的执法人员各1名（中心乡镇增派多名，并增配其他专业执法队的人员）和乡镇2-8名持执法证的人员组成。结合基层治理四个平台，通过网格化管理，在实践中边巡查边制定完善检查清单，形成综合巡查一张网。除派驻力量执法和乡镇7类事项赋权外，其他执法事项通过指挥平台实现乡镇吹哨、部门报到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val="en-US" w:eastAsia="zh-CN" w:bidi="ar"/>
        </w:rPr>
        <w:t>政府统筹协调。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 w:bidi="ar"/>
        </w:rPr>
        <w:t>明确在综合行政执法局设立行政执法协调指挥中心，建立区级行政执法统筹协调机制，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负责统筹全区行政执法、监管计划，管理考核全区执法检查、执法协作等执法活动。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加强执法协同。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完善县乡两级执法体制，理顺综合执法与行业主管部门之间、乡镇（街道）与区级部门之间的关系，厘清职责边界。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进一步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发挥属地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在行政执法中的指挥功能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，做好综合执法平台与基层治理四平台的融合。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（5）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建立争议协调机制。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综合行政执法指导办定期研究，区委编办、区司法局根据《职责争议处理办法》主持协商，提出处理意见。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（6）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健全行刑“两法”衔接。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建立健全案件移送、证据移交、信息通报等长效工作机制。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三是构建全智治数字执法体系。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应用市级统建的执法统一指挥平台，实现监管执法“一张网”全闭环。以执法监管“一件事”为载体，实施“综合查一次”组团式执法。全面应用省行政执法监管系统和省统一行政处罚办案系统，归集共享多部门信息，形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形成“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审批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监管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处罚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监督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的“大执法”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全流程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功能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闭环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left="0" w:leftChars="0" w:right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四是构建全流程执法监督体系。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深化行政执法监督与复议监督、审判监督协作为第一层次，与人大、政协、纪检监察、检察监督协作为第二层次的双层次监督协作机制，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建立监管与执法双向反馈机制，强化责任追究，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全面提升行政执法监督效能。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540" w:lineRule="exact"/>
        <w:ind w:left="0" w:leftChars="0" w:right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五是构建全要素执法能力提升体系。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有序整合全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行政执法队伍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合力配置执法力量，规范综合执法队伍管理，建立执法队伍培训、监督、考核机制。</w:t>
      </w:r>
    </w:p>
    <w:p/>
    <w:p>
      <w:pPr>
        <w:pStyle w:val="9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52F90"/>
    <w:multiLevelType w:val="singleLevel"/>
    <w:tmpl w:val="48C52F9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DVhMzk2MGJkYmQwZTE2NzkwOWQ1OGQ5ZDFlMDUifQ=="/>
  </w:docVars>
  <w:rsids>
    <w:rsidRoot w:val="0B78733E"/>
    <w:rsid w:val="0B78733E"/>
    <w:rsid w:val="0EB13C5A"/>
    <w:rsid w:val="5DC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spacing w:beforeLines="0" w:afterLines="0"/>
      <w:outlineLvl w:val="0"/>
    </w:pPr>
    <w:rPr>
      <w:rFonts w:hint="eastAsia" w:ascii="黑体" w:hAnsi="黑体" w:eastAsia="黑体"/>
      <w:kern w:val="0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ascii="Times New Roman" w:hAnsi="Times New Roman" w:cs="Times New Roman"/>
    </w:rPr>
  </w:style>
  <w:style w:type="paragraph" w:styleId="4">
    <w:name w:val="Body Text"/>
    <w:basedOn w:val="1"/>
    <w:next w:val="5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Body Text First Indent"/>
    <w:basedOn w:val="4"/>
    <w:next w:val="1"/>
    <w:qFormat/>
    <w:uiPriority w:val="0"/>
    <w:pPr>
      <w:ind w:firstLine="720"/>
    </w:pPr>
    <w:rPr>
      <w:rFonts w:eastAsia="方正仿宋_GBK"/>
      <w:sz w:val="30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styleId="9">
    <w:name w:val="Body Text First Indent 2"/>
    <w:basedOn w:val="6"/>
    <w:next w:val="6"/>
    <w:qFormat/>
    <w:uiPriority w:val="0"/>
    <w:pPr>
      <w:spacing w:before="100" w:beforeAutospacing="1" w:after="0" w:line="580" w:lineRule="exact"/>
      <w:ind w:left="0" w:leftChars="0" w:firstLine="420" w:firstLineChars="200"/>
    </w:pPr>
    <w:rPr>
      <w:rFonts w:ascii="仿宋_GB2312" w:eastAsia="仿宋_GB2312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2104</Words>
  <Characters>2149</Characters>
  <Lines>0</Lines>
  <Paragraphs>0</Paragraphs>
  <TotalTime>1</TotalTime>
  <ScaleCrop>false</ScaleCrop>
  <LinksUpToDate>false</LinksUpToDate>
  <CharactersWithSpaces>2149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2021-12-09T02:43:00Z</dcterms:created>
  <dc:creator>少红</dc:creator>
  <cp:lastModifiedBy>寒珊瑚z(^^)z</cp:lastModifiedBy>
  <dcterms:modified xsi:type="dcterms:W3CDTF">2022-05-19T07:27:06Z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66F1B64E921E4EB995C5B235A4EB1178</vt:lpwstr>
  </property>
</Properties>
</file>