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永昌镇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由富阳区永昌镇人民政府编制，所列数据的统计期限自2021年1月1日至12月31日止。如对本年报有疑问，请与富阳区永昌镇人民政府联系（电话：0571－63201270，地址：杭州市富阳区永昌镇人民政府，邮编：311400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永昌镇严格按照《中华人民共和国政府信息公开条例》《浙江省政府信息公开暂行办法》《杭州市政府信息公开规定》等相关规范性文件的要求，以及区政府的有关部署，始终将政府信息公开工作作为法治政府建设的重点工作，“以公开为原则，以不公开为例外”，以“公开、便民、高校”为基本要求，不断完善政府信息公开相关配套制度和工作规范，严格责任制度，狠抓工作落实，有力推进了政府信息公开透明，扎实有效地推进永昌镇信息公开工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通过区政府门户网站等信息化平台网站，依法主动公开政务政府信息282条，其中政务动态信息发布239条、信息公开目录发布10条内容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本镇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未收到政务信息依申请公开的申请。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政府信息管理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永昌镇政府信息公开的力度和深度，永昌镇根据相关文件精神，成立政府信息公开小组，明确分工，为永昌镇政府信息公开提供了坚实保障。根据信息公开指南要求，按时间节点在政府门户网站、微信公众号等平台主动公开相关信息、数据，推动我镇政府信息公开工作规范化、制度化、常态化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）信息公开平台建设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视频号、</w:t>
      </w:r>
      <w:r>
        <w:rPr>
          <w:rFonts w:hint="eastAsia" w:ascii="仿宋_GB2312" w:hAnsi="仿宋_GB2312" w:eastAsia="仿宋_GB2312" w:cs="仿宋_GB2312"/>
          <w:sz w:val="32"/>
          <w:szCs w:val="32"/>
        </w:rPr>
        <w:t>抖音号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不断创新信息公开的载体形式，拓宽信息公开广度。微信公众平台的订阅数达6664人，全年发布微信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文章</w:t>
      </w:r>
      <w:r>
        <w:rPr>
          <w:rFonts w:hint="eastAsia" w:ascii="仿宋_GB2312" w:hAnsi="仿宋_GB2312" w:eastAsia="仿宋_GB2312" w:cs="仿宋_GB2312"/>
          <w:sz w:val="32"/>
          <w:szCs w:val="32"/>
        </w:rPr>
        <w:t>418条。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做好门户网站建设，按照《政府信息公开指南》《政府信息公开目录》等要求，及时将相关信息逐一网上发布。通过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政务新媒体平台主动发布信息。通过《富阳日报》《杭州日报》《浙江新闻》等媒体推介宣传单位工作动态，主动自觉接受社会舆论的监督，畅通群众监督的渠道。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）信息公开监督保障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组织领导。主管、分管领导责任明确，及时建立了有力的工作机构和网络，人员配备齐全，各项任务分解到位，依托政府网站与政务新媒体常态监测及区府办定期通报，查漏补缺。二是建立制度体系。严格按照区政府相关文件精神，建立了政府信息的公开审核，依申请公开审查，责任追究，公开考核等一系列制度。三是完善工作机制。明确信息公开的报送、信息提供等具体工作规范，自觉加强信息公开工作相关制度规范的学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2021年本单位未发生政府信息公开工作责任追究情况。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2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2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2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永昌镇在信息公开的数量和质量方面都取得了一定的成效，但仍存在以下几方面问题，尚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进一步改进。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（一）主要问题：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还须提升政务信息主动公开的意识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政府工作人员还需加强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“以公开为原则，以不公开为例外”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还须学习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信息公开相关制度及要求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对于《中华人民共和国政府信息公开条例》《浙江省政府信息公开暂行办法》《杭州市政府信息公开规定》等相关规范性文件学习不够透彻、不够深入。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公开的内容和形式还欠多样化。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目前，我镇政务信息公开以工作动态为主，主要用“图+文”的形式呈现，缺乏创新，阅读量不高，平台受众有限，影响力不够。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（二）改进措施：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.增强主动公开意识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加强业务部门公开意识，学透吃透“以公开为原则，以不公开为例外”的精神，同时做到信息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工作及时、有效。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夯实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系统学习《中华人民共和国政府信息公开条例》《浙江省政府信息公开暂行办法》《杭州市政府信息公开规定》等相关规范性文件，熟练掌握信息公开的范围、机制，提升信息公开能力和水平。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.创新信息公开路径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紧紧围绕政府信息公开工作的要求，多渠道、多形式地向社会和广大群众深入宣传政府信息公开工作，努力在本镇形成群众积极关心政府信息公开的社会氛围。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45B8"/>
    <w:rsid w:val="02CA63D5"/>
    <w:rsid w:val="080D2DB2"/>
    <w:rsid w:val="0A837697"/>
    <w:rsid w:val="0AC6268D"/>
    <w:rsid w:val="0BA42FDE"/>
    <w:rsid w:val="0C1801DD"/>
    <w:rsid w:val="0CAE6912"/>
    <w:rsid w:val="0D0B5B12"/>
    <w:rsid w:val="0F451083"/>
    <w:rsid w:val="102D6138"/>
    <w:rsid w:val="12A64C01"/>
    <w:rsid w:val="151879E2"/>
    <w:rsid w:val="153876C0"/>
    <w:rsid w:val="15CD233E"/>
    <w:rsid w:val="18670C5F"/>
    <w:rsid w:val="18FC6C57"/>
    <w:rsid w:val="190653E0"/>
    <w:rsid w:val="19FF69FF"/>
    <w:rsid w:val="1A116732"/>
    <w:rsid w:val="1B932EA6"/>
    <w:rsid w:val="1DEE505E"/>
    <w:rsid w:val="1E2F5FFD"/>
    <w:rsid w:val="1EE7180F"/>
    <w:rsid w:val="1EE95587"/>
    <w:rsid w:val="21815F4B"/>
    <w:rsid w:val="249C4E4A"/>
    <w:rsid w:val="27220C40"/>
    <w:rsid w:val="286545B8"/>
    <w:rsid w:val="2AF87278"/>
    <w:rsid w:val="2BB94533"/>
    <w:rsid w:val="2CE4517E"/>
    <w:rsid w:val="2D477EFF"/>
    <w:rsid w:val="2D684463"/>
    <w:rsid w:val="2DAF2092"/>
    <w:rsid w:val="2F063F34"/>
    <w:rsid w:val="2FC83DDF"/>
    <w:rsid w:val="2FE46BAD"/>
    <w:rsid w:val="315A2315"/>
    <w:rsid w:val="322E1CC9"/>
    <w:rsid w:val="341B168A"/>
    <w:rsid w:val="34CE54F3"/>
    <w:rsid w:val="36063A3E"/>
    <w:rsid w:val="38E307CA"/>
    <w:rsid w:val="3AA368B5"/>
    <w:rsid w:val="3B37382D"/>
    <w:rsid w:val="3C0637C5"/>
    <w:rsid w:val="3CA65DAF"/>
    <w:rsid w:val="3FC35EC5"/>
    <w:rsid w:val="40C8729B"/>
    <w:rsid w:val="412D70FE"/>
    <w:rsid w:val="41E77BF5"/>
    <w:rsid w:val="46920DE0"/>
    <w:rsid w:val="4A167389"/>
    <w:rsid w:val="4C673E0C"/>
    <w:rsid w:val="4F722CCD"/>
    <w:rsid w:val="50B67110"/>
    <w:rsid w:val="53936E50"/>
    <w:rsid w:val="57DA5F78"/>
    <w:rsid w:val="5864041E"/>
    <w:rsid w:val="58987D7C"/>
    <w:rsid w:val="58D740C7"/>
    <w:rsid w:val="5BF136F2"/>
    <w:rsid w:val="5C9517E0"/>
    <w:rsid w:val="5CC93D27"/>
    <w:rsid w:val="5FA2633B"/>
    <w:rsid w:val="61532759"/>
    <w:rsid w:val="63F37E76"/>
    <w:rsid w:val="644A7E43"/>
    <w:rsid w:val="65DF4A7E"/>
    <w:rsid w:val="662E7099"/>
    <w:rsid w:val="69342E70"/>
    <w:rsid w:val="6ADE7FFC"/>
    <w:rsid w:val="6EE2462F"/>
    <w:rsid w:val="6F8F7052"/>
    <w:rsid w:val="703D7E39"/>
    <w:rsid w:val="718F3339"/>
    <w:rsid w:val="75271ADB"/>
    <w:rsid w:val="76FB69EE"/>
    <w:rsid w:val="7D0F3925"/>
    <w:rsid w:val="7D9F66B2"/>
    <w:rsid w:val="7F3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2022-01-18T04:56:00Z</dcterms:created>
  <dc:creator>匿名用户</dc:creator>
  <cp:lastModifiedBy>匿名用户</cp:lastModifiedBy>
  <dcterms:modified xsi:type="dcterms:W3CDTF">2022-01-25T06:59:19Z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031CC5E0E1BE40998817A4C061B4206A</vt:lpwstr>
  </property>
</Properties>
</file>